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BVO 2 — Eigenleistungen</w:t>
      </w:r>
    </w:p>
    <w:p>
      <w:r>
        <w:rPr>
          <w:color w:val="555555"/>
          <w:sz w:val="18"/>
        </w:rPr>
        <w:t xml:space="preserve">Zweite Berechnungsverordnung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Eigenleistungen sind die Leistungen des Bauherrn, die zur Deckung der Gesamtkosten dienen, namentlich</w:t>
      </w:r>
    </w:p>
    <w:p>
      <w:pPr>
        <w:ind w:left="420"/>
      </w:pPr>
      <w:r>
        <w:t xml:space="preserve">1. Geldmittel,</w:t>
      </w:r>
    </w:p>
    <w:p>
      <w:pPr>
        <w:ind w:left="420"/>
      </w:pPr>
      <w:r>
        <w:t xml:space="preserve">2. der Wert der Sach- und Arbeitsleistungen, vor allem der Wert der eingebrachten Baustoffe und der Selbsthilfe,</w:t>
      </w:r>
    </w:p>
    <w:p>
      <w:pPr>
        <w:ind w:left="420"/>
      </w:pPr>
      <w:r>
        <w:t xml:space="preserve">3. der Wert des eigenen Baugrundstücks und der Wert verwendeter Gebäudeteile.</w:t>
      </w:r>
    </w:p>
    <w:p>
      <w:r>
        <w:t xml:space="preserve">(2) Als Eigenleistung kann auch ganz oder teilweise ausgewiesen werden</w:t>
      </w:r>
    </w:p>
    <w:p>
      <w:pPr>
        <w:ind w:left="420"/>
      </w:pPr>
      <w:r>
        <w:t xml:space="preserve">1. ein Barzahlungsnachlaß (Skonto), wenn bei den Gesamtkosten die vom Bauherrn zu entrichtende Vergütung in voller Höhe angesetzt ist,</w:t>
      </w:r>
    </w:p>
    <w:p>
      <w:pPr>
        <w:ind w:left="420"/>
      </w:pPr>
      <w:r>
        <w:t xml:space="preserve">2. der Wert von Sach- und Arbeitsleistungen, die der Bauherr mit eigenen Arbeitnehmern im Rahmen seiner gewerblichen oder unternehmerischen Tätigkeit oder auf Grund seines Berufes erbringt.</w:t>
      </w:r>
    </w:p>
    <w:p>
      <w:r>
        <w:t xml:space="preserve">(3) Die in Absatz 1 Nr. 2 und 3 bezeichneten Werte sind, vorbehaltlich der Absätze 2 und 4, mit dem Betrage auszuweisen, der bei den Gesamtkosten angesetzt ist.</w:t>
      </w:r>
    </w:p>
    <w:p>
      <w:r>
        <w:t xml:space="preserve">(4) Bei Ermittlung der Eigenleistung sind gestundete Restkaufgelder und die in § 13 Abs. 2 bezeichneten Verbindlichkeiten mit dem Betrage abzuziehen, mit dem sie im Finanzierungsplan als Fremdmittel ausgewiesen sind.</w:t>
      </w:r>
    </w:p>
    <w:p>
      <w:r>
        <w:rPr>
          <w:color w:val="555555"/>
          <w:sz w:val="17"/>
        </w:rPr>
        <w:t xml:space="preserve">Zitiervorschlag: § 15 BVO 2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https://recht.nulegal.eu/gesetze/BVO%202/15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