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BVO 2 — Verlorene Baukostenzuschüsse</w:t>
      </w:r>
    </w:p>
    <w:p>
      <w:r>
        <w:rPr>
          <w:color w:val="555555"/>
          <w:sz w:val="18"/>
        </w:rPr>
        <w:t xml:space="preserve">Zweite Berechnungsverordnung</w:t>
      </w:r>
    </w:p>
    <w:p>
      <w:r>
        <w:rPr>
          <w:color w:val="555555"/>
          <w:sz w:val="18"/>
        </w:rPr>
        <w:t xml:space="preserve">Stand: 10.06.2019 (konsolidierte Textfassung, kein amtliches Inkrafttretensdatum)</w:t>
      </w:r>
    </w:p>
    <w:p>
      <w:r>
        <w:t xml:space="preserve">Verlorene Baukostenzuschüsse sind Geld-, Sach- und Arbeitsleistungen an den Bauherrn, die zur Deckung der Gesamtkosten dienen und erbracht werden, um den Gebrauch von Wohn- oder Geschäftsraum zu erlangen oder Kapitalkosten zu ersparen, ohne daß vereinbart ist, den Wert der Leistung zurückzuerstatten oder mit der Miete oder einem ähnlichen Entgelt zu verrechnen oder als Vorauszahlung hierauf zu behandeln. Verlorene Baukostenzuschüsse sind auch Geldleistungen, mit denen die Gemeinde dem Eigentümer Kosten der Modernisierung erstattet oder die ihm vom Land oder von der Gemeinde als Modernisierungszuschüsse gewährt werden.</w:t>
      </w:r>
    </w:p>
    <w:p>
      <w:r>
        <w:rPr>
          <w:color w:val="555555"/>
          <w:sz w:val="17"/>
        </w:rPr>
        <w:t xml:space="preserve">Zitiervorschlag: § 14 BVO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https://recht.nulegal.eu/gesetze/BVO%202/14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