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BVO 2 — Fremdmittel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Fremdmittel sind</w:t>
      </w:r>
    </w:p>
    <w:p>
      <w:pPr>
        <w:ind w:left="420"/>
      </w:pPr>
      <w:r>
        <w:t xml:space="preserve">1. Darlehen,</w:t>
      </w:r>
    </w:p>
    <w:p>
      <w:pPr>
        <w:ind w:left="420"/>
      </w:pPr>
      <w:r>
        <w:t xml:space="preserve">2. gestundete Restkaufgelder,</w:t>
      </w:r>
    </w:p>
    <w:p>
      <w:pPr>
        <w:ind w:left="420"/>
      </w:pPr>
      <w:r>
        <w:t xml:space="preserve">3. gestundete öffentliche Lasten des Baugrundstücks außer der Hypothekengewinnabgabe,</w:t>
      </w:r>
    </w:p>
    <w:p>
      <w:pPr>
        <w:ind w:left="420"/>
      </w:pPr>
      <w:r>
        <w:t xml:space="preserve">4. kapitalisierte Beträge wiederkehrender Leistungen, namentlich von Rentenschulden,</w:t>
      </w:r>
    </w:p>
    <w:p>
      <w:pPr>
        <w:ind w:left="420"/>
      </w:pPr>
      <w:r>
        <w:t xml:space="preserve">5. Mietvorauszahlungen,</w:t>
      </w:r>
    </w:p>
    <w:p>
      <w:r>
        <w:t xml:space="preserve">die zur Deckung der Gesamtkosten dienen.</w:t>
      </w:r>
    </w:p>
    <w:p>
      <w:r>
        <w:t xml:space="preserve">(2) Vor der Bebauung vorhandene Verbindlichkeiten, die auf dem Baugrundstück dinglich gesichert sind, gelten als Fremdmittel, soweit sie den Wert des Baugrundstücks und der verwendeten Gebäudeteile nicht übersteigen.</w:t>
      </w:r>
    </w:p>
    <w:p>
      <w:r>
        <w:t xml:space="preserve">(3) Kapitalisierte Beträge wiederkehrender Leistungen, namentlich von Rentenschulden, dürfen höchstens mit dem Betrage ausgewiesen werden, der bei den Gesamtkosten für die Gegenleistung nach § 10 angesetzt ist.</w:t>
      </w:r>
    </w:p>
    <w:p>
      <w:r>
        <w:rPr>
          <w:color w:val="555555"/>
          <w:sz w:val="17"/>
        </w:rPr>
        <w:t xml:space="preserve">Zitiervorschlag: § 13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