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BVO 2 — Inhalt des Finanzierungsplanes</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Im Finanzierungsplan sind die Mittel auszuweisen, die zur Deckung der in der Wirtschaftlichkeitsberechnung angesetzten Gesamtkosten dienen (Finanzierungsmittel), und zwar</w:t>
      </w:r>
    </w:p>
    <w:p>
      <w:pPr>
        <w:ind w:left="420"/>
      </w:pPr>
      <w:r>
        <w:t xml:space="preserve">1. die Fremdmittel mit dem Nennbetrag und mit den vereinbarten oder vorgesehenen Auszahlungs-, Zins- und Tilgungsbedingungen, auch wenn sie planmäßig getilgt sind,</w:t>
      </w:r>
    </w:p>
    <w:p>
      <w:pPr>
        <w:ind w:left="420"/>
      </w:pPr>
      <w:r>
        <w:t xml:space="preserve">2. die verlorenen Baukostenzuschüsse,</w:t>
      </w:r>
    </w:p>
    <w:p>
      <w:pPr>
        <w:ind w:left="420"/>
      </w:pPr>
      <w:r>
        <w:t xml:space="preserve">3. die Eigenleistungen.</w:t>
      </w:r>
    </w:p>
    <w:p>
      <w:r>
        <w:t xml:space="preserve">Vor- oder Zwischenfinanzierungsmittel sind nicht als Finanzierungsmittel auszuweisen.</w:t>
      </w:r>
    </w:p>
    <w:p>
      <w:r>
        <w:t xml:space="preserve">(2) Werden nach § 11 Abs. 1 bis 3 geänderte Gesamtkosten angesetzt, so sind die Finanzierungsmittel auszuweisen, die zur Deckung der geänderten Gesamtkosten dienen.</w:t>
      </w:r>
    </w:p>
    <w:p>
      <w:r>
        <w:t xml:space="preserve">(3) Werden nach § 11 Abs. 4 bis 6 die Kosten von baulichen Änderungen den Gesamtkosten hinzugerechnet, so sind die Mittel, die zur Deckung dieser Kosten dienen, im Finanzierungsplan auszuweisen. Für diese Mittel gelten die Vorschriften über Finanzierungsmittel.</w:t>
      </w:r>
    </w:p>
    <w:p>
      <w:r>
        <w:t xml:space="preserve">(4) Sind</w:t>
      </w:r>
    </w:p>
    <w:p>
      <w:pPr>
        <w:ind w:left="420"/>
      </w:pPr>
      <w:r>
        <w:t xml:space="preserve">1. im öffentlich geförderten sozialen Wohnungsbau nach der Bewilligung der öffentlichen Mittel oder</w:t>
      </w:r>
    </w:p>
    <w:p>
      <w:pPr>
        <w:ind w:left="420"/>
      </w:pPr>
      <w:r>
        <w:t xml:space="preserve">2. im steuerbegünstigten Wohnungsbau nach der Bezugsfertigkeit</w:t>
      </w:r>
    </w:p>
    <w:p>
      <w:r>
        <w:t xml:space="preserve">Finanzierungsmittel durch andere Mittel ersetzt worden, so sind die neuen Mittel an der Stelle der bisherigen Finanzierungsmittel auszuweisen. Sind die Kapitalkosten der neuen Mittel zusammen mit den Kapitalkosten der Mittel, die der Deckung der einmaligen Kosten der Ersetzung dienen, höher als die Kapitalkosten der bisherigen Finanzierungsmittel, so sind die neuen Mittel nur auszuweisen, wenn die Ersetzung auf Umständen beruht, die der Bauherr nicht zu vertreten hat. Bei einem Tilgungsdarlehen ist der Betrag, der planmäßig getilgt ist, unter Hinweis hierauf in der bisherigen Weise auszuweisen; die Sätze 1 und 2 finden auf diesen Betrag keine Anwendung.</w:t>
      </w:r>
    </w:p>
    <w:p>
      <w:r>
        <w:t xml:space="preserve">(5) Sind die als Darlehen gewährten öffentlichen Mittel gemäß § 16 des Wohnungsbindungsgesetzes vorzeitig zurückgezahlt oder abgelöst worden, so sind die zur Rückzahlung oder Ablösung aufgewandten Finanzierungsmittel an der Stelle der öffentlichen Mittel auszuweisen. Der Betrag des Darlehens, der planmäßig getilgt oder bei der Ablösung erlassen ist, ist unter Hinweis hierauf in der bisherigen Weise auszuweisen.</w:t>
      </w:r>
    </w:p>
    <w:p>
      <w:r>
        <w:t xml:space="preserve">(6) Ist die Verbindlichkeit aus einem Aufbaudarlehen, das dem Bauherrn gewährt worden ist, nach Zuerkennung des Anspruchs auf Hauptentschädigung gemäß § 258 Abs. 1 Nr. 2 des Lastenausgleichsgesetzes ganz oder teilweise als nicht entstanden anzusehen, so gilt das Aufbaudarlehen insoweit als durch eigene Mittel des Bauherrn ersetzt. Die Ersetzung gilt als auf Umständen beruhend, die der Bauherr nicht zu vertreten hat, und von dem Zeitpunkt an als eingetreten, zu dem der Bescheid über die Zuerkennung des Anspruchs auf Hauptentschädigung unanfechtbar geworden ist.</w:t>
      </w:r>
    </w:p>
    <w:p>
      <w:r>
        <w:rPr>
          <w:color w:val="555555"/>
          <w:sz w:val="17"/>
        </w:rPr>
        <w:t xml:space="preserve">Zitiervorschlag: § 12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