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BVO 2 — Anwendungsbereich der Verordnung</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Diese Verordnung ist anzuwenden, wenn</w:t>
      </w:r>
    </w:p>
    <w:p>
      <w:pPr>
        <w:ind w:left="420"/>
      </w:pPr>
      <w:r>
        <w:t xml:space="preserve">1. die Wirtschaftlichkeit, Belastung, Wohnfläche oder der angemessene Kaufpreis für öffentlich geförderten Wohnraumbei Anwendung des Zweiten Wohnungsbaugesetzes oder des Wohnungsbindungsgesetzes,</w:t>
      </w:r>
    </w:p>
    <w:p>
      <w:pPr>
        <w:ind w:left="420"/>
      </w:pPr>
      <w:r>
        <w:t xml:space="preserve">2. die Wirtschaftlichkeit, Belastung oder Wohnfläche für steuerbegünstigten oder freifinanzierten Wohnraumbei Anwendung des Zweiten Wohnungsbaugesetzes,</w:t>
      </w:r>
    </w:p>
    <w:p>
      <w:pPr>
        <w:ind w:left="420"/>
      </w:pPr>
      <w:r>
        <w:t xml:space="preserve">3. die Wirtschaftlichkeit, Wohnfläche oder der angemessene Kaufpreisbei Anwendung der Verordnung zur Durchführung des Wohnungsgemeinnützigkeitsgesetzes</w:t>
      </w:r>
    </w:p>
    <w:p>
      <w:r>
        <w:t xml:space="preserve">zu berechnen ist.</w:t>
      </w:r>
    </w:p>
    <w:p>
      <w:r>
        <w:t xml:space="preserve">(2) Diese Verordnung ist ferner anzuwenden, wenn in anderen Rechtsvorschriften die Anwendung vorgeschrieben oder vorausgesetzt ist. Das gleiche gilt, wenn in anderen Rechtsvorschriften die Anwendung der Ersten Berechnungsverordnung vorgeschrieben oder vorausgesetzt ist.</w:t>
      </w:r>
    </w:p>
    <w:p>
      <w:r>
        <w:rPr>
          <w:color w:val="555555"/>
          <w:sz w:val="17"/>
        </w:rPr>
        <w:t xml:space="preserve">Zitiervorschlag: § 1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