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BVLG — Aufsicht im besonderen Fall</w:t>
      </w:r>
    </w:p>
    <w:p>
      <w:r>
        <w:rPr>
          <w:color w:val="555555"/>
          <w:sz w:val="18"/>
        </w:rPr>
        <w:t xml:space="preserve">BVL-Gesetz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das Bundesamt Aufgaben aus einem anderen Geschäftsbereich als dem des Bundesministeriums wahrnimmt, untersteht es den fachlichen Weisungen der sachlich zuständigen obersten Bundesbehörde.</w:t>
      </w:r>
    </w:p>
    <w:p>
      <w:r>
        <w:rPr>
          <w:color w:val="555555"/>
          <w:sz w:val="17"/>
        </w:rPr>
        <w:t xml:space="preserve">Zitiervorschlag: § 5 BVLG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