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BVLAÜV</w:t>
      </w:r>
    </w:p>
    <w:p>
      <w:r>
        <w:rPr>
          <w:color w:val="555555"/>
          <w:sz w:val="18"/>
        </w:rPr>
        <w:t xml:space="preserve">BVL-Aufgabenübertragungsverordnung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65 Satz 1 Nr. 3 des Lebensmittel- und Futtermittelgesetzbuches in der Fassung der Bekanntmachung vom 26. April 2006 (BGBl. I S. 945) verordnet das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BVLAÜV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https://recht.nulegal.eu/gesetze/BVLA%C3%9CV/eingangsformel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