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BVLÜV</w:t>
      </w:r>
    </w:p>
    <w:p>
      <w:r>
        <w:rPr>
          <w:color w:val="555555"/>
          <w:sz w:val="18"/>
        </w:rPr>
        <w:t xml:space="preserve">BVL-Übertragungsverordnung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Bundesamt für Verbraucherschutz und Lebensmittelsicherheit wird die Befugnis zum Erlass von Rechtsverordnungen nach</w:t>
      </w:r>
    </w:p>
    <w:p>
      <w:pPr>
        <w:ind w:left="420"/>
      </w:pPr>
      <w:r>
        <w:t xml:space="preserve">1. § 9 Absatz 2 Nummer 2 Buchstabe b des Lebensmittel- und Futtermittelgesetzbuches, soweit danach für Zwecke des Artikels 18 Absatz 4 der Verordnung (EG) Nr. 396/2005 Ausnahmen von Artikel 18 Absatz 1 der Verordnung (EG) Nr. 396/2005 oder von dem Verbot des § 9 Absatz 1 Satz 1 Nummer 3 des Lebensmittel- und Futtermittelgesetzbuches zugelassen werden können,</w:t>
      </w:r>
    </w:p>
    <w:p>
      <w:pPr>
        <w:ind w:left="420"/>
      </w:pPr>
      <w:r>
        <w:t xml:space="preserve">2. § 21 Absatz 3 Satz 4 Nummer 2 des Lebensmittel- und Futtermittelgesetzbuches, soweit danach für Zwecke des Artikels 18 Absatz 4 der Verordnung (EG) Nr. 396/2005 Ausnahmen von Artikel 18 Absatz 1 der Verordnung (EG) Nr. 396/2005 oder von dem Verbot des § 21 Absatz 3 Satz 1 Nummer 3 des Lebensmittel- und Futtermittelgesetzbuches zugelassen werden können,</w:t>
      </w:r>
    </w:p>
    <w:p>
      <w:r>
        <w:t xml:space="preserve">übertragen.</w:t>
      </w:r>
    </w:p>
    <w:p>
      <w:r>
        <w:rPr>
          <w:color w:val="555555"/>
          <w:sz w:val="17"/>
        </w:rPr>
        <w:t xml:space="preserve">Zitiervorschlag: § 3 BVLÜV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https://recht.nulegal.eu/gesetze/BVL%C3%9CV/3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