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BVLÜV</w:t>
      </w:r>
    </w:p>
    <w:p>
      <w:r>
        <w:rPr>
          <w:color w:val="555555"/>
          <w:sz w:val="18"/>
        </w:rPr>
        <w:t xml:space="preserve">BVL-Übertragungsverordnung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 gilt nicht, soweit das Bundesministerium für Ernährung und Landwirtschaft</w:t>
      </w:r>
    </w:p>
    <w:p>
      <w:pPr>
        <w:ind w:left="420"/>
      </w:pPr>
      <w:r>
        <w:t xml:space="preserve">1. im Einzelfall eine in § 1 genannte Befugnis</w:t>
      </w:r>
    </w:p>
    <w:p>
      <w:pPr>
        <w:ind w:left="780"/>
      </w:pPr>
      <w:r>
        <w:t xml:space="preserve">a) selbst wahrnimmt oder</w:t>
      </w:r>
    </w:p>
    <w:p>
      <w:pPr>
        <w:ind w:left="780"/>
      </w:pPr>
      <w:r>
        <w:t xml:space="preserve">b) im Benehmen mit der zuständigen obersten Landesbehörde dieser übertragen hat oder</w:t>
      </w:r>
    </w:p>
    <w:p>
      <w:pPr>
        <w:ind w:left="420"/>
      </w:pPr>
      <w:r>
        <w:t xml:space="preserve">2. eine in § 1 genannte Befugnis durch Rechtsverordnung mit Zustimmung des Bundesrates auf die zuständigen obersten Landesbehörden übertragen hat.</w:t>
      </w:r>
    </w:p>
    <w:p>
      <w:r>
        <w:rPr>
          <w:color w:val="555555"/>
          <w:sz w:val="17"/>
        </w:rPr>
        <w:t xml:space="preserve">Zitiervorschlag: § 2 BVLÜV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