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III § 1 BVGSaarEG</w:t>
      </w:r>
    </w:p>
    <w:p>
      <w:r>
        <w:rPr>
          <w:color w:val="555555"/>
          <w:sz w:val="18"/>
        </w:rPr>
        <w:t xml:space="preserve">Gesetz zur Einführung des Bundesversorgungsgesetzes im Saarland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Mit den sich aus Artikel I § 1 Abs. 1 und Artikel II ergebenden Zeitpunkten treten alle entgegenstehenden oder inhaltsgleichen Rechtsvorschriften des Saarlands außer Kraft.</w:t>
      </w:r>
    </w:p>
    <w:p>
      <w:r>
        <w:rPr>
          <w:color w:val="555555"/>
          <w:sz w:val="17"/>
        </w:rPr>
        <w:t xml:space="preserve">Zitiervorschlag: Art III § 1 BVGSaarEG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https://recht.nulegal.eu/gesetze/BVGSaarEG/iii-1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