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§ 12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03.07.2020 bis 01.01.2024. Dies ist nicht die aktuelle Fassung.</w:t>
      </w:r>
    </w:p>
    <w:p>
      <w:r>
        <w:t xml:space="preserve">Sofern sich in einzelnen Fällen aus § 1 Härten ergeben, kann mit Zustimmung des Bundesministers für Arbeit und Sozialordnung, in Fällen der Kriegsopferfürsorge des Bundesministers des Innern, für Bau und Heimat, ein Ausgleich gewährt werden.</w:t>
      </w:r>
    </w:p>
    <w:p>
      <w:r>
        <w:rPr>
          <w:color w:val="555555"/>
          <w:sz w:val="17"/>
        </w:rPr>
        <w:t xml:space="preserve">Zitiervorschlag: Art I § 12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https://recht.nulegal.eu/gesetze/BVGSaarEG/i-12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