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BVGSaarEG</w:t>
      </w:r>
    </w:p>
    <w:p>
      <w:r>
        <w:rPr>
          <w:color w:val="555555"/>
          <w:sz w:val="18"/>
        </w:rPr>
        <w:t xml:space="preserve">Gesetz zur Einführung des Bundesversorgungsgesetzes im Saarland</w:t>
      </w:r>
    </w:p>
    <w:p>
      <w:r>
        <w:rPr>
          <w:color w:val="555555"/>
          <w:sz w:val="18"/>
        </w:rPr>
        <w:t xml:space="preserve">Außer Kraft: § 12 ist seit 03.07.2020 nicht mehr im BVGSaarEG enthalten. Angezeigt wird die letzte bekannte Fassung, Stand 10.06.2019.</w:t>
      </w:r>
    </w:p>
    <w:p>
      <w:r>
        <w:t xml:space="preserve">Sofern sich in einzelnen Fällen aus § 1 Härten ergeben, kann mit Zustimmung des Bundesministers für Arbeit und Sozialordnung, in Fällen der Kriegsopferfürsorge des Bundesministers des Innern, ein Ausgleich gewährt werden.</w:t>
      </w:r>
    </w:p>
    <w:p>
      <w:r>
        <w:rPr>
          <w:color w:val="555555"/>
          <w:sz w:val="17"/>
        </w:rPr>
        <w:t xml:space="preserve">Zitiervorschlag: § 12 BVGSaarEG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https://recht.nulegal.eu/gesetze/BVGSaarEG/12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