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Führt eine Änderung des Bundesversorgungsgesetzes, einer Verordnung auf Grund des Bundesversorgungsgesetzes oder einer Rechtsvorschrift, auf die das Bundesversorgungsgesetz verweist, zu einer Änderung laufend gewährter Versorgungsbezüge, Versorgungskrankengelder und Übergangsgelder, sind diese von Amts wegen neu festzustellen. Sind nur die einkommensunabhängigen Leistungen nach den §§ 14, 15, 31 Abs. 1 und 4, § 35 Abs. 1 und den §§ 40 und 46 anzupassen (§ 56), kann von einer förmlichen Bescheiderteilung abgesehen werden.</w:t>
      </w:r>
    </w:p>
    <w:p>
      <w:r>
        <w:t xml:space="preserve">(2) Im Übrigen werden neue Ansprüche, die sich aus einer solchen Rechtsänderung ergeben, nur auf Antrag festgestellt. Wird der Antrag binnen eines Jahres nach Inkrafttreten der Rechtsänderung gestellt, so beginnt die Zahlung mit dem Wirksamwerden der entsprechenden Änderung, frühestens mit dem Jahr, Monat oder Tag, in dem oder an dem die Voraussetzungen erfüllt sind. Sie beginnt mit demselben Zeitpunkt, wenn die neuen Ansprüche erst auf Grund einer noch zu erlassenden Rechtsverordnung festgestellt werden können und der Antrag binnen eines Jahres nach Verkündung der Rechtsverordnung gestellt wird.</w:t>
      </w:r>
    </w:p>
    <w:p>
      <w:r>
        <w:t xml:space="preserve">(3) Die Absätze 1 und 2 gelten entsprechend, wenn Versorgung als Kannleistung oder im Wege des Härteausgleichs gewährt wird.</w:t>
      </w:r>
    </w:p>
    <w:p>
      <w:r>
        <w:rPr>
          <w:color w:val="555555"/>
          <w:sz w:val="17"/>
        </w:rPr>
        <w:t xml:space="preserve">Zitiervorschlag: § 90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