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88d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01.06.2022 bis 01.01.2024. Dies ist nicht die aktuelle Fassung.</w:t>
      </w:r>
    </w:p>
    <w:p>
      <w:r>
        <w:t xml:space="preserve">Erwachsene Leistungsberechtigte, denen für den Monat Juli 2022 Leistungen nach § 27a gezahlt werden, erhalten für sich und ihren Ehegatten oder Lebenspartner im Sinne des § 25 Absatz 4 Satz 2 Nummer 1 für diesen Monat zum Ausgleich der mit der COVID-19-Pandemie in Zusammenhang stehenden Mehraufwendungen eine Einmalzahlung in Höhe von jeweils 200 Euro.</w:t>
      </w:r>
    </w:p>
    <w:p>
      <w:r>
        <w:rPr>
          <w:color w:val="555555"/>
          <w:sz w:val="17"/>
        </w:rPr>
        <w:t xml:space="preserve">Zitiervorschlag: § 88d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