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88c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01.01.2021 bis 01.01.2024. Dies ist nicht die aktuelle Fassung.</w:t>
      </w:r>
    </w:p>
    <w:p>
      <w:r>
        <w:t xml:space="preserve">Der Träger der Kriegsopferfürsorge hat über Leistungen der ergänzenden Hilfe zum Lebensunterhalt ohne Berücksichtigung eines eventuellen Freibetrages nach § 25d Absatz 3c zu entscheiden, so lange ihm nicht durch eine Mitteilung des Rentenversicherungsträgers oder berufsständischer Versicherungs- oder Versorgungseinrichtungen nachgewiesen ist, dass die Voraussetzungen für die Einräumung des Freibetrages vorliegen.</w:t>
      </w:r>
    </w:p>
    <w:p>
      <w:r>
        <w:rPr>
          <w:color w:val="555555"/>
          <w:sz w:val="17"/>
        </w:rPr>
        <w:t xml:space="preserve">Zitiervorschlag: § 88c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https://recht.nulegal.eu/gesetze/BVG/88c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