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88b BVG</w:t>
      </w:r>
    </w:p>
    <w:p>
      <w:r>
        <w:rPr>
          <w:color w:val="555555"/>
          <w:sz w:val="18"/>
        </w:rPr>
        <w:t xml:space="preserve">Bundesversorgungsgesetz</w:t>
      </w:r>
    </w:p>
    <w:p>
      <w:r>
        <w:rPr>
          <w:color w:val="555555"/>
          <w:sz w:val="18"/>
        </w:rPr>
        <w:t xml:space="preserve">Historische Fassung: Stand 14.12.2021 bis 01.01.2024. Dies ist nicht die aktuelle Fassung.</w:t>
      </w:r>
    </w:p>
    <w:p>
      <w:r>
        <w:t xml:space="preserve">(1) Wurde im Oktober 2021 ein Mehrbedarf nach § 27a dieses Gesetzes in Verbindung mit § 30 Absatz 8 und § 42b Absatz 2 des Zwölften Buches Sozialgesetzbuch anerkannt, wird dieser bis zum Ablauf des 31. März 2022 in unveränderter Höhe auch dann anerkannt, wenn abweichend von § 27a dieses Gesetzes in Verbindung mit § 30 Absatz 8 und § 42b Absatz 2 Satz 1 und 2 des Zwölften Buches Sozialgesetzbuch die Voraussetzungen der Gemeinschaftlichkeit der Mittagsverpflegung und der Essenseinnahme in der Verantwortung des Leistungsanbieters nicht vorliegen. Für die Berechnung der Höhe des Mehrbedarfs sind die Anzahl der für Oktober 2021 berücksichtigten Arbeitstage und die sich nach § 27a dieses Gesetzes in Verbindung mit § 30 Absatz 8 und § 42b Absatz 2 Satz 3 des Zwölften Buches Sozialgesetzbuch ergebenden Mehraufwendungen je Arbeitstag zugrunde zu legen.</w:t>
      </w:r>
    </w:p>
    <w:p>
      <w:r>
        <w:t xml:space="preserve">(2) Die Bundesregierung wird ermächtigt, den in Absatz 1 Satz 1 genannten Zeitraum durch Rechtsverordnung ohne Zustimmung des Bundesrates längstens bis zum 31. Dezember 2022 zu verlängern.</w:t>
      </w:r>
    </w:p>
    <w:p>
      <w:r>
        <w:rPr>
          <w:color w:val="555555"/>
          <w:sz w:val="17"/>
        </w:rPr>
        <w:t xml:space="preserve">Zitiervorschlag: § 88b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