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Vor dem 1. Juli 1985 bewilligte Witwen- und Waisenbeihilfen bleiben von der am 1. Juli 1985 in Kraft getretenen Änderung des § 48 unberührt.</w:t>
      </w:r>
    </w:p>
    <w:p>
      <w:r>
        <w:t xml:space="preserve">(2) Haben Berechtigte mit Wohnsitz oder gewöhnlichem Aufenthalt im Ausland im Monat Juni 1988 Anspruch auf Berufsschadensausgleich oder Schadensausgleich unter Zugrundelegung ausländischer Vergleichseinkommen, gilt § 64c in der bis zum 30. Juni 1988 geltenden Fassung, solange dies günstiger ist. Dabei ist dem derzeitigen Einkommen das für den Monat Juli 1988 maßgebende ausländische Vergleichseinkommen gegenüberzustellen; dieses Vergleichseinkommen wird in den Folgejahren jeweils zum 1. Juli in dem gleichen Umfang wie der Bemessungsbetrag (§ 33 Abs. 1) verändert.</w:t>
      </w:r>
    </w:p>
    <w:p>
      <w:r>
        <w:rPr>
          <w:color w:val="555555"/>
          <w:sz w:val="17"/>
        </w:rPr>
        <w:t xml:space="preserve">Zitiervorschlag: § 84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