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Dieses Gesetz ist entsprechend anzuwenden auf</w:t>
      </w:r>
    </w:p>
    <w:p>
      <w:pPr>
        <w:ind w:left="420"/>
      </w:pPr>
      <w:r>
        <w:t xml:space="preserve">1. Personen, denen für Schäden an Leib und Leben Leistungen zuerkannt worden waren</w:t>
      </w:r>
    </w:p>
    <w:p>
      <w:pPr>
        <w:ind w:left="780"/>
      </w:pPr>
      <w:r>
        <w:t xml:space="preserve">a) auf Grund des § 18 des Gesetzes über den Ersatz der durch den Krieg verursachten Personenschäden (Kriegspersonenschädengesetz) in der Fassung der Bekanntmachung vom 22. Dezember 1927 (RGBl. I S. 515, 533)oder</w:t>
      </w:r>
    </w:p>
    <w:p>
      <w:pPr>
        <w:ind w:left="780"/>
      </w:pPr>
      <w:r>
        <w:t xml:space="preserve">b) auf Grund des § 1 Nr. 2 des Gesetzes über den Ersatz der durch die Besetzung deutschen Reichsgebiets verursachten Personenschäden (Besatzungspersonenschädengesetz) in der Fassung der Bekanntmachung vom 12. April 1927 (RGBl. I S. 103);</w:t>
      </w:r>
    </w:p>
    <w:p>
      <w:pPr>
        <w:ind w:left="420"/>
      </w:pPr>
      <w:r>
        <w:t xml:space="preserve">2. Deutsche im Sinne des Artikels 116 des Grundgesetzes, die in der Zeit vom 18. Juli 1936 bis 31. März 1939 in Spanien auf republikanischer Seite gekämpft und dabei durch Unfall oder Kampfmitteleinwirkung eine gesundheitliche Schädigung erlitten haben, sowie deren Hinterbliebene.</w:t>
      </w:r>
    </w:p>
    <w:p>
      <w:r>
        <w:t xml:space="preserve">(2) Versorgung nach diesem Gesetz kann auch an Vertriebene im Sinne des § 1 des Bundesvertriebenengesetzes, die Deutsche oder deutsche Volkszugehörige sind, gewährt werden, wenn sie nach dem 8. Mai 1945 in Erfüllung ihrer gesetzlichen Wehrpflicht nach den im Vertreibungsgebiet geltenden Vorschriften eine Schädigung im Sinne des § 1 Abs. 1 erlitten haben; das gilt nicht, wenn sie aus derselben Ursache einen Anspruch auf Versorgung gegen das Land, das die Dienstpflicht gefordert hat, haben und diesen Anspruch verwirklichen können. Satz 1 gilt auch für Spätaussiedler im Sinne des § 4 des Bundesvertriebenengesetzes.</w:t>
      </w:r>
    </w:p>
    <w:p>
      <w:r>
        <w:rPr>
          <w:color w:val="555555"/>
          <w:sz w:val="17"/>
        </w:rPr>
        <w:t xml:space="preserve">Zitiervorschlag: § 82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