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Soweit den Versorgungsberechtigten ein gesetzlicher Anspruch auf Ersatz des ihnen durch die Schädigung verursachten Schadens gegen Dritte zusteht, geht dieser Anspruch im Umfang der durch dieses Gesetz begründeten Pflicht zur Erbringung von Leistungen auf den Bund über. Das gilt nicht bei Ansprüchen, die aus Schwangerschaft und Niederkunft erwachsen sind. Der Übergang des Anspruchs kann nicht zum Nachteil des Berechtigten geltend gemacht werden.</w:t>
      </w:r>
    </w:p>
    <w:p>
      <w:r>
        <w:t xml:space="preserve">(2) Absatz 1 gilt entsprechend, soweit es sich um Ansprüche nach diesem Gesetz handelt, die nicht auf einer Schädigung beruhen.</w:t>
      </w:r>
    </w:p>
    <w:p>
      <w:r>
        <w:t xml:space="preserve">(3) Die Krankenkasse teilt der Verwaltungsbehörde Tatsachen mit, aus denen zu entnehmen ist, daß ein Dritter den Schaden verursacht hat. Auf Anfrage macht sie der Verwaltungsbehörde Angaben darüber, in welcher Höhe sie Heil- oder Krankenbehandlung erbracht hat; dies gilt nicht für nichtstationäre ärztliche Behandlung und Versorgung mit Arznei- und Verbandmitteln.</w:t>
      </w:r>
    </w:p>
    <w:p>
      <w:r>
        <w:t xml:space="preserve">(4) § 116 Abs. 8 des Zehnten Buches Sozialgesetzbuch gilt entsprechend.</w:t>
      </w:r>
    </w:p>
    <w:p>
      <w:r>
        <w:rPr>
          <w:color w:val="555555"/>
          <w:sz w:val="17"/>
        </w:rPr>
        <w:t xml:space="preserve">Zitiervorschlag: § 81a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