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78a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Eine Kapitalabfindung kann auch Witwen mit Anspruch auf Rente oder Witwenbeihilfe (§ 48) und Ehegatten Verschollener (§ 52 Abs. 1) gewährt werden. Die Vorschriften der §§ 72 bis 80 gelten entsprechend.</w:t>
      </w:r>
    </w:p>
    <w:p>
      <w:r>
        <w:t xml:space="preserve">(2) Schließt eine abgefundene Witwe erneut eine Ehe, so ist nach der Eheschließung die Abfindungssumme insoweit zurückzuzahlen, als sie die Gesamtsumme der bis zu ihrer Wiederverheiratung erloschen gewesenen Versorgungsbezüge übersteigt. Auf den zurückzuzahlenden Betrag ist die Abfindung nach § 44 anzurechnen. Stellt sich heraus, daß der Verschollene noch lebt, so ist die Abfindung insoweit zurückzuzahlen, als sie die Summe der erloschenen Versorgungsbezüge übersteigt, die bis zur Rückkehr des Verschollenen nach diesem Gesetz und dem Gesetz über die Unterhaltsbeihilfe für Angehörige von Kriegsgefangenen zu zahlen wären.</w:t>
      </w:r>
    </w:p>
    <w:p>
      <w:r>
        <w:t xml:space="preserve">(3) Die Absätze 1 und 2 gelten für hinterbliebene Lebenspartner entsprechend.</w:t>
      </w:r>
    </w:p>
    <w:p>
      <w:r>
        <w:rPr>
          <w:color w:val="555555"/>
          <w:sz w:val="17"/>
        </w:rPr>
        <w:t xml:space="preserve">Zitiervorschlag: § 78a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https://recht.nulegal.eu/gesetze/BVG/78a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