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78 BVG</w:t>
      </w:r>
    </w:p>
    <w:p>
      <w:r>
        <w:rPr>
          <w:color w:val="555555"/>
          <w:sz w:val="18"/>
        </w:rPr>
        <w:t xml:space="preserve">Bundesversorgungsgesetz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Innerhalb der in § 76 Abs. 1 vorgesehenen Frist ist ein der ausgezahlten Abfindungssumme gleichkommender Betrag an Geld, Wertpapieren und Forderungen der Pfändung nicht unterworfen.</w:t>
      </w:r>
    </w:p>
    <w:p>
      <w:r>
        <w:rPr>
          <w:color w:val="555555"/>
          <w:sz w:val="17"/>
        </w:rPr>
        <w:t xml:space="preserve">Zitiervorschlag: § 78 BVG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https://recht.nulegal.eu/gesetze/BVG/78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