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Die Abfindung ist auf Erfordern insoweit zurückzuzahlen, als sie nicht innerhalb einer von der zuständigen Verwaltungsbehörde bemessenen Frist bestimmungsgemäß verwendet worden ist.</w:t>
      </w:r>
    </w:p>
    <w:p>
      <w:r>
        <w:t xml:space="preserve">(2) Die Abfindung kann zurückgefordert werden, wenn der Verwendungszweck innerhalb des Abfindungszeitraums vereitelt worden ist.</w:t>
      </w:r>
    </w:p>
    <w:p>
      <w:r>
        <w:t xml:space="preserve">(3) Dem Abgefundenen können vor Ablauf des Abfindungszeitraums auf Antrag die durch die Kapitalabfindung erloschenen Bezüge gegen Rückzahlung der Abfindungssumme wieder bewilligt werden, wenn wichtige Gründe vorliegen.</w:t>
      </w:r>
    </w:p>
    <w:p>
      <w:r>
        <w:rPr>
          <w:color w:val="555555"/>
          <w:sz w:val="17"/>
        </w:rPr>
        <w:t xml:space="preserve">Zitiervorschlag: § 76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