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bestimmungsgemäße Verwendung des Kapitals ist durch die Form der Auszahlung und in der Regel durch Maßnahmen zur Verhinderung alsbaldiger Veräußerung des Grundstücks, Erbbaurechts, Wohnungseigentums, Wohnungserbbaurechts oder Dauerwohnrechts zu sichern. Zu diesem Zweck kann insbesondere angeordnet werden, daß die Veräußerung und Belastung des mit der Kapitalabfindung erworbenen oder wirtschaftlich gestärkten Grundstücks, Erbbaurechts, Wohnungseigentums oder Wohnungserbbaurechts innerhalb einer Frist bis zu fünf Jahren nur mit Genehmigung der zuständigen Verwaltungsbehörde zulässig sind. Diese Anordnung wird mit der Eintragung in das Grundbuch wirksam. Die Eintragung erfolgt auf Ersuchen der zuständigen Verwaltungsbehörde.</w:t>
      </w:r>
    </w:p>
    <w:p>
      <w:r>
        <w:t xml:space="preserve">(2) Ferner kann die Abfindung davon abhängig gemacht werden, daß die Eintragung einer Sicherungshypothek zur Sicherung der Forderung auf die Rückzahlung der Kapitalabfindung nach den §§ 76 und 77 bewilligt wird.</w:t>
      </w:r>
    </w:p>
    <w:p>
      <w:r>
        <w:rPr>
          <w:color w:val="555555"/>
          <w:sz w:val="17"/>
        </w:rPr>
        <w:t xml:space="preserve">Zitiervorschlag: § 75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