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Kapitalabfindung kann einen Betrag bis zur Höhe der Grundrente (§ 31 Abs. 1 Satz 1) umfassen. Ist eine Herabsetzung der Minderung der Erwerbsfähigkeit innerhalb des Abfindungszeitraums zu erwarten, so kann der Kapitalabfindung nur die Rente zugrunde gelegt werden, die dem zu erwartenden Grad der Schädigungsfolgen entspricht.</w:t>
      </w:r>
    </w:p>
    <w:p>
      <w:r>
        <w:t xml:space="preserve">(2) Die Abfindung ist auf die für einen Zeitraum von zehn Jahren zustehende Grundrente beschränkt. Als Abfindungssumme wird das Neunfache des der Kapitalabfindung zugrunde liegenden Jahresbetrags gezahlt. Der Anspruch auf die Bezüge, an deren Stelle die Abfindung tritt, erlischt für die Dauer von zehn Jahren mit Ablauf des Monats, der auf den Monat der Auszahlung folgt.</w:t>
      </w:r>
    </w:p>
    <w:p>
      <w:r>
        <w:t xml:space="preserve">(3) Abweichend von Absatz 2 ist die Abfindung auf die für einen Zeitraum von fünf Jahren zustehende Grundrente beschränkt, wenn der Antrag erst nach Vollendung des sechzigsten Lebensjahres gestellt wird. Als Abfindungssumme wird das Siebenundfünfzigfache des der Kapitalabfindung zugrunde liegenden Monatsbetrags gezahlt. Der Anspruch auf die Bezüge, an deren Stelle die Abfindung tritt, erlischt für die Dauer von fünf Jahren mit Ablauf des Monats, der auf den Monat der Auszahlung folgt.</w:t>
      </w:r>
    </w:p>
    <w:p>
      <w:r>
        <w:rPr>
          <w:color w:val="555555"/>
          <w:sz w:val="17"/>
        </w:rPr>
        <w:t xml:space="preserve">Zitiervorschlag: § 74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