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BVG</w:t>
      </w:r>
    </w:p>
    <w:p>
      <w:r>
        <w:rPr>
          <w:color w:val="555555"/>
          <w:sz w:val="18"/>
        </w:rPr>
        <w:t xml:space="preserve">Bundesversorgungsgesetz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(1) Eine Kapitalabfindung kann nur gewährt werden, wenn</w:t>
      </w:r>
    </w:p>
    <w:p>
      <w:pPr>
        <w:ind w:left="420"/>
      </w:pPr>
      <w:r>
        <w:t xml:space="preserve">1. der Beschädigte im Zeitpunkt der Antragstellung das 55. Lebensjahr noch nicht vollendet hat,</w:t>
      </w:r>
    </w:p>
    <w:p>
      <w:pPr>
        <w:ind w:left="420"/>
      </w:pPr>
      <w:r>
        <w:t xml:space="preserve">2. der Versorgungsanspruch anerkannt ist,</w:t>
      </w:r>
    </w:p>
    <w:p>
      <w:pPr>
        <w:ind w:left="420"/>
      </w:pPr>
      <w:r>
        <w:t xml:space="preserve">3. nicht zu erwarten ist, daß innerhalb des Abfindungszeitraums die Rente wegfallen wird,</w:t>
      </w:r>
    </w:p>
    <w:p>
      <w:pPr>
        <w:ind w:left="420"/>
      </w:pPr>
      <w:r>
        <w:t xml:space="preserve">4. für eine nützliche Verwendung des Geldes Gewähr besteht.</w:t>
      </w:r>
    </w:p>
    <w:p>
      <w:r>
        <w:t xml:space="preserve">(2) Eine Kapitalabfindung kann ausnahmsweise nach dem 55. Lebensjahr gewährt werden, jedoch nicht, wenn der Antrag erst nach Vollendung des 65. Lebensjahrs gestellt wird.</w:t>
      </w:r>
    </w:p>
    <w:p>
      <w:r>
        <w:rPr>
          <w:color w:val="555555"/>
          <w:sz w:val="17"/>
        </w:rPr>
        <w:t xml:space="preserve">Zitiervorschlag: § 73 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https://recht.nulegal.eu/gesetze/BVG/73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