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Beschädigten, die eine Rente erhalten, kann zum Erwerb oder zur wirtschaftlichen Stärkung eigenen Grundbesitzes eine Kapitalabfindung gewährt werden.</w:t>
      </w:r>
    </w:p>
    <w:p>
      <w:r>
        <w:t xml:space="preserve">(2) Eine Kapitalabfindung kann auch gewährt werden</w:t>
      </w:r>
    </w:p>
    <w:p>
      <w:pPr>
        <w:ind w:left="420"/>
      </w:pPr>
      <w:r>
        <w:t xml:space="preserve">1. zum Erwerb oder zur wirtschaftlichen Stärkung eines Wohnungseigentums nach dem Wohnungseigentumsgesetz,</w:t>
      </w:r>
    </w:p>
    <w:p>
      <w:pPr>
        <w:ind w:left="420"/>
      </w:pPr>
      <w:r>
        <w:t xml:space="preserve">2. zur Finanzierung von selbst genutztem Wohneigentum im Sinne des § 17 Abs. 2 des Wohnraumförderungsgesetzes, wenn die baldige Übertragung des Eigentums auf den Beschädigten sichergestellt wird,</w:t>
      </w:r>
    </w:p>
    <w:p>
      <w:pPr>
        <w:ind w:left="420"/>
      </w:pPr>
      <w:r>
        <w:t xml:space="preserve">3. zum Erwerb eines Dauerwohnrechts nach dem Wohnungseigentumsgesetz, wenn der Dauerwohnberechtigte wirtschaftlich einem Wohnungseigentümer gleichgestellt ist und das Fortbestehen des Dauerwohnrechts im Falle der Zwangsversteigerung nach § 39 des Wohnungseigentumsgesetzes vereinbart wird,</w:t>
      </w:r>
    </w:p>
    <w:p>
      <w:pPr>
        <w:ind w:left="420"/>
      </w:pPr>
      <w:r>
        <w:t xml:space="preserve">4. zur Finanzierung eines eigenen Bausparvertrags mit einer Bausparkasse oder dem Beamtenheimstättenwerk für die Zwecke des Absatzes 1 und der Nummern 1 bis 3.</w:t>
      </w:r>
    </w:p>
    <w:p>
      <w:r>
        <w:t xml:space="preserve">(3) Dem Eigentum an einem Grundstück steht das Erbbaurecht, dem Wohnungseigentum das Wohnungserbbaurecht gleich.</w:t>
      </w:r>
    </w:p>
    <w:p>
      <w:r>
        <w:rPr>
          <w:color w:val="555555"/>
          <w:sz w:val="17"/>
        </w:rPr>
        <w:t xml:space="preserve">Zitiervorschlag: § 72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