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Der Anspruch auf Versorgungsbezüge ruht, wenn beide Ansprüche auf derselben Ursache beruhen</w:t>
      </w:r>
    </w:p>
    <w:p>
      <w:pPr>
        <w:ind w:left="420"/>
      </w:pPr>
      <w:r>
        <w:t xml:space="preserve">1. in Höhe der Bezüge aus der gesetzlichen Unfallversicherung,</w:t>
      </w:r>
    </w:p>
    <w:p>
      <w:pPr>
        <w:ind w:left="420"/>
      </w:pPr>
      <w:r>
        <w:t xml:space="preserve">2. in Höhe des Unterschieds zwischen einer Versorgung nach allgemeinen beamtenrechtlichen Bestimmungen und aus der beamtenrechtlichen Unfallfürsorge.</w:t>
      </w:r>
    </w:p>
    <w:p>
      <w:r>
        <w:t xml:space="preserve">Kinderzulagen zur Verletztenrente aus der gesetzlichen Unfallversicherung bleiben mit dem Betrag unberücksichtigt, in dessen Höhe ohne die Kinderzulage von anderen Leistungsträgern Kindergeld oder entsprechende Leistungen zu zahlen wären.</w:t>
      </w:r>
    </w:p>
    <w:p>
      <w:r>
        <w:t xml:space="preserve">(2) Der Anspruch auf die Grundrente (§ 31) ruht in Höhe der neben Dienstbezügen gewährten Leistungen aus der beamtenrechtlichen Unfallfürsorge, wenn beide Ansprüche auf derselben Ursache beruhen.</w:t>
      </w:r>
    </w:p>
    <w:p>
      <w:r>
        <w:t xml:space="preserve">(3) Der Anspruch auf Heilbehandlung (§ 10 Abs. 1) und auf den Pauschbetrag als Ersatz für Kleider- und Wäscheverschleiß (§ 15) ruht insoweit, als</w:t>
      </w:r>
    </w:p>
    <w:p>
      <w:pPr>
        <w:ind w:left="420"/>
      </w:pPr>
      <w:r>
        <w:t xml:space="preserve">1. aus derselben Ursache Ansprüche auf entsprechende Leistungen aus der gesetzlichen Unfallversicherung oder nach den beamtenrechtlichen Vorschriften über die Unfallfürsorge bestehen;</w:t>
      </w:r>
    </w:p>
    <w:p>
      <w:pPr>
        <w:ind w:left="420"/>
      </w:pPr>
      <w:r>
        <w:t xml:space="preserve">2. Ansprüche auf entsprechende Leistungen nach den Vorschriften über die Heilfürsorge für Angehörige der Bundespolizei und für Soldaten (§ 69a, § 70 Abs. 2 Bundesbesoldungsgesetz und § 1 Abs. 1 Wehrsoldgesetz) und nach den landesrechtlichen Vorschriften für Polizeivollzugsbeamte der Länder bestehen.</w:t>
      </w:r>
    </w:p>
    <w:p>
      <w:r>
        <w:t xml:space="preserve">(4) In dem in Artikel 3 des Einigungsvertrages genannten Gebiet führen auch andere Ansprüche, die auf gleicher Ursache beruhen, zu einem Ruhen des Anspruchs auf Versorgungsbezüge. Dies gilt bei der Kriegsbeschädigtenrente, dem Pflegegeld, dem Blindengeld und dem Sonderpflegegeld sowie bei der von einer Kriegsbeschädigtenrente abgeleiteten Hinterbliebenenrente nach dem Rentenangleichungsgesetz vom 28. Juni 1990 (GBl. I Nr. 38 S. 495) für den Betrag, der vom Träger der Rentenversicherung allein auf Grund der Kriegsbeschädigung gezahlt wird.</w:t>
      </w:r>
    </w:p>
    <w:p>
      <w:r>
        <w:t xml:space="preserve">(5) Das Ruhen wird mit dem Zeitpunkt wirksam, in dem seine Voraussetzungen eingetreten sind. Die Zahlung von Versorgungsbezügen wird mit Ablauf des Monats eingestellt oder gemindert, in dem das Ruhen wirksam wird, und wieder aufgenommen oder erhöht mit Beginn des Monats, in dem das Ruhen endet.</w:t>
      </w:r>
    </w:p>
    <w:p>
      <w:r>
        <w:rPr>
          <w:color w:val="555555"/>
          <w:sz w:val="17"/>
        </w:rPr>
        <w:t xml:space="preserve">Zitiervorschlag: § 65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