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64d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Zahlung der Versorgungsbezüge richtet sich nach den devisenrechtlichen Vorschriften. Bei Einkünften aus Staaten mit schwankendem Geldwert und damit verbundenen erheblichen Kursänderungen ist entsprechend der Regelung in § 60a Absatz 1 Satz 2 zu verfahren. In diesen Fällen ist, sofern die Kursänderungen im Laufe des Kalenderjahres in einem gleichbleibenden Rahmen liegen, nach dem Ende des abgelaufenen Kalenderjahres bei der Feststellung der einkommensabhängigen Leistungen der durchschnittliche Kurs dieses Jahres zugrunde zu legen. In Fällen, in denen die Kurse während des Kalenderjahres größeren Schwankungen unterliegen, kann der durchschnittliche Kurs jeweils für einen größeren Zeitabschnitt ermittelt werden.</w:t>
      </w:r>
    </w:p>
    <w:p>
      <w:r>
        <w:t xml:space="preserve">(2) Können dem Berechtigten die nach diesem Gesetz zustehenden Leistungen nicht zugeführt werden, so können mit Zustimmung des Bundesministeriums für Arbeit und Soziales Ersatzleistungen gewährt werden. Ein Anspruch auf nachträgliche Gewährung des Unterschieds zur vollen Versorgung besteht nicht.</w:t>
      </w:r>
    </w:p>
    <w:p>
      <w:r>
        <w:rPr>
          <w:color w:val="555555"/>
          <w:sz w:val="17"/>
        </w:rPr>
        <w:t xml:space="preserve">Zitiervorschlag: § 64d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