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64c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Bei der Festsetzung der Versorgungsbezüge werden ausländische Einkünfte wie vergleichbare inländische Einkünfte berücksichtigt.</w:t>
      </w:r>
    </w:p>
    <w:p>
      <w:r>
        <w:t xml:space="preserve">(2) Für die Festsetzung des Berufsschadensausgleichs gilt § 30 Absatz 3 bis 15. Bezieht der Beschädigte überwiegend ausländisches Einkommen, tritt an die Stelle seines tatsächlichen Einkommens aus gegenwärtiger oder früherer Tätigkeit (§ 30 Abs. 4 Satz 1) das Durchschnittseinkommen des Grundgehalts der Besoldungsgruppen der Bundesbesoldungsordnung A, der der Beschädigte im Inland zugeordnet werden würde. Ist die Voraussetzung des Satzes 2 nicht gegeben und hat der Beschädigte nach dem 30. Juni 1984 seinen Wohnsitz oder gewöhnlichen Aufenthalt ins Ausland verlegt, tritt an die Stelle seines bisher erzielten Erwerbseinkommens das Durchschnittseinkommen des Grundgehalts der Besoldungsgruppe der Bundesbesoldungsordnung A, der der Beschädigte vor der Übersiedlung zugeordnet worden wäre. In den Fällen der Sätze 2 und 3 gilt § 30 Abs. 11 Satz 2 entsprechend.</w:t>
      </w:r>
    </w:p>
    <w:p>
      <w:r>
        <w:t xml:space="preserve">(3) Für die Festsetzung des Schadensausgleichs gilt § 40a.</w:t>
      </w:r>
    </w:p>
    <w:p>
      <w:r>
        <w:t xml:space="preserve">(4) Die §§ 60 bis 62 und 66 gelten, soweit nicht Besonderheiten der Versorgung von Kriegsopfern außerhalb des Bundesgebiets eine Abweichung bedingen. Eine Abweichung kann nur im Einvernehmen mit dem Bundesministerium für Arbeit und Soziales vorgenommen werden; es kann im Benehmen mit der zuständigen obersten Landesbehörde auch festlegen, wie die Versorgungsbezüge auszuzahlen sind.</w:t>
      </w:r>
    </w:p>
    <w:p>
      <w:r>
        <w:t xml:space="preserve">(5) Kapitalabfindungen werden nicht gewährt.</w:t>
      </w:r>
    </w:p>
    <w:p>
      <w:r>
        <w:t xml:space="preserve">(6) Bestattungsgeld wird beim Tod von Beschädigten bis zur Höhe des Betrags in § 36 Absatz 1 Satz 2 zweite Alternative, beim Tod von Hinterbliebenen bis zur Höhe des Betrags in § 53 Satz 2 zweite Alternative geleistet.</w:t>
      </w:r>
    </w:p>
    <w:p>
      <w:r>
        <w:rPr>
          <w:color w:val="555555"/>
          <w:sz w:val="17"/>
        </w:rPr>
        <w:t xml:space="preserve">Zitiervorschlag: § 64c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