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Berechtigte mit Wohnsitz oder gewöhnlichem Aufenthalt im Ausland erhalten Versorgung wie Berechtigte im Geltungsbereich dieses Gesetzes, soweit die §§ 64a bis 64f nichts Abweichendes bestimmen. Die Leistungen können mit Zustimmung des Bundesministeriums für Arbeit und Soziales ganz oder teilweise versagt oder entzogen werden, wenn</w:t>
      </w:r>
    </w:p>
    <w:p>
      <w:pPr>
        <w:ind w:left="420"/>
      </w:pPr>
      <w:r>
        <w:t xml:space="preserve">1. der Leistungszweck nicht erreicht werden kann, insbesondere der fremde Staat Renten nach diesem Gesetz auf eigene Renten ganz oder teilweise anrechnet, oder</w:t>
      </w:r>
    </w:p>
    <w:p>
      <w:pPr>
        <w:ind w:left="420"/>
      </w:pPr>
      <w:r>
        <w:t xml:space="preserve">2. in der Person des Berechtigten ein von ihm zu vertretender wichtiger Grund, insbesondere eine gegen die Bundesrepublik Deutschland gerichtete Handlung des Berechtigten, vorliegt.</w:t>
      </w:r>
    </w:p>
    <w:p>
      <w:r>
        <w:rPr>
          <w:color w:val="555555"/>
          <w:sz w:val="17"/>
        </w:rPr>
        <w:t xml:space="preserve">Zitiervorschlag: § 64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