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Eine vom Einkommen beeinflußte Leistung ist nicht neu festzustellen, solange sich das Bruttoeinkommen seit der letzten Feststellung dieser Leistung insgesamt um weniger als 5 Euro monatlich erhöht oder das Vergleichseinkommen im Sinne des § 30 Abs. 5 insgesamt um weniger als 5 Euro monatlich gemindert hat, es sei denn, daß eine Neufeststellung einer dieser Leistungen aus anderem Anlaß notwendig wird.</w:t>
      </w:r>
    </w:p>
    <w:p>
      <w:r>
        <w:t xml:space="preserve">(2) Der Grad der Schädigungsfolgen rentenberechtigter Beschädigter darf nicht vor Ablauf von zwei Jahren nach Bekanntgabe des Feststellungsbescheids niedriger festgesetzt werden. Ist durch Heilbehandlung eine wesentliche und nachhaltige Besserung des schädigungsbedingten Gesundheitszustandes erreicht worden, so ist die niedrigere Festsetzung schon früher zulässig, jedoch frühestens nach Ablauf eines Jahres nach Abschluß dieser Heilbehandlung.</w:t>
      </w:r>
    </w:p>
    <w:p>
      <w:r>
        <w:t xml:space="preserve">(3) Bei Versorgungsberechtigten, die das 55. Lebensjahr vollendet haben, ist der Grad der Schädigungsfolgen wegen Besserung des schädigungsbedingten Gesundheitszustandes oder einer Änderung der Verordnung nach § 30 Abs. 17 infolge neuer medizinisch-wissenschaftlicher Erkenntnisse nicht niedriger festzusetzen, wenn er in den letzten zehn Jahren seit Feststellung nach diesem Gesetz unverändert geblieben ist. Entsprechendes gilt für die Schwerstbeschädigtenzulage, wenn deren Stufe in den letzten zehn Jahren seit Feststellung unverändert geblieben ist. Veränderungen aus anderen als medizinischen Gründen bleiben bei der Berechnung der Frist unberücksichtigt.</w:t>
      </w:r>
    </w:p>
    <w:p>
      <w:r>
        <w:t xml:space="preserve">(4) Wird der gemeinsame Haushalt aufgelöst, den eine Schwerbeschädigte oder ein Schwerbeschädigter mit den in § 30 Abs. 12 Satz 1 genannten Personen geführt hat, so sind der Grad der Schädigungsfolgen nach § 30 Abs. 2 und der Berufsschadensausgleich nach § 30 Abs. 16 von Amts wegen nur neu festzustellen, wenn ihr oder ihm ohne die Schädigungsfolgen die Aufnahme eines anderen Berufs zuzumuten wäre oder nach Wegfall des Berufsschadensausgleichs nach § 30 Abs. 16 ein Berufsschadensausgleich nach § 30 Abs. 3 bis 11 zusteht.</w:t>
      </w:r>
    </w:p>
    <w:p>
      <w:r>
        <w:rPr>
          <w:color w:val="555555"/>
          <w:sz w:val="17"/>
        </w:rPr>
        <w:t xml:space="preserve">Zitiervorschlag: § 62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