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Für die Hinterbliebenenversorgung gilt § 60 mit folgender Maßgabe entsprechend:</w:t>
      </w:r>
    </w:p>
    <w:p>
      <w:pPr>
        <w:ind w:left="420"/>
      </w:pPr>
      <w:r>
        <w:t xml:space="preserve">a) Wird der Erstantrag vor Ablauf eines Jahres nach dem Tod gestellt, beginnt die Versorgung frühstens mit dem auf den Sterbemonat folgenden Monat.</w:t>
      </w:r>
    </w:p>
    <w:p>
      <w:pPr>
        <w:ind w:left="420"/>
      </w:pPr>
      <w:r>
        <w:t xml:space="preserve">b) An die Stelle des Berufsschadensausgleichs nach § 30 Abs. 3 oder 6 tritt bei Witwen der Schadensausgleich nach § 40a.</w:t>
      </w:r>
    </w:p>
    <w:p>
      <w:pPr>
        <w:ind w:left="420"/>
      </w:pPr>
      <w:r>
        <w:t xml:space="preserve">c) Der Änderung des Familienstands steht bei Waisen der Tod des Vaters oder der Mutter gleich.</w:t>
      </w:r>
    </w:p>
    <w:p>
      <w:r>
        <w:rPr>
          <w:color w:val="555555"/>
          <w:sz w:val="17"/>
        </w:rPr>
        <w:t xml:space="preserve">Zitiervorschlag: § 61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