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Leistungen für Blinde (§ 14), der Pauschbetrag als Ersatz für Kleider- und Wäscheverschleiß (§ 15), die Grundrenten und die Schwerstbeschädigtenzulage (§ 31 Abs. 1 und 4, §§ 40 und 46), die Ausgleichs- und Elternrenten (§§ 32, 41, 47 und 51), der Ehegattenzuschlag (§ 33a), die Pflegezulage (§ 35) und das Bestattungsgeld (§§ 36, 53) werden jeweils entsprechend dem Vomhundertsatz angepaßt, um den sich die Renten der gesetzlichen Rentenversicherung verändern. Gleichzeitig wird der Bemessungsbetrag (§ 33 Absatz 1) entsprechend dem Prozentsatz angepasst, um den sich die für die Rentenanpassung maßgebenden Bruttolöhne und -gehälter je Arbeitnehmer (§ 68 Absatz 2 in Verbindung mit § 228b des Sechsten Buches Sozialgesetzbuch) verändern.</w:t>
      </w:r>
    </w:p>
    <w:p>
      <w:r>
        <w:t xml:space="preserve">(2) Die Bundesregierung hat durch Rechtsverordnung mit Zustimmung des Bundesrates die in §§ 14, 15, 31 Absatz 1 und 4, 32, 33 Abs 1, 33a, 35, 36, 40, 41, 46, 47, 51 und 53 bestimmten Beträge entsprechend Absatz 1 jeweils zum gleichen Zeitpunkt, zu dem die Renten der gesetzlichen Rentenversicherung angepasst werden, zu ändern. Dabei sind in § 15 die dort genannten Pauschbeträge durch Multiplikation der niedrigsten und der höchsten Bewertungszahl mit dem Multiplikator zu ermitteln. Die sich nach Satz 1 und 2 ergebenden Beträge sind bis 0,49 Euro auf volle Euro abzurunden und ab 0,50 Euro auf volle Euro aufzurunden. Abweichend hiervon ist der Multiplikator in § 15 auf 3 Dezimalstellen nach dem Komma zu runden.</w:t>
      </w:r>
    </w:p>
    <w:p>
      <w:r>
        <w:t xml:space="preserve">(3) u. (4) (weggefallen)</w:t>
      </w:r>
    </w:p>
    <w:p>
      <w:r>
        <w:rPr>
          <w:color w:val="555555"/>
          <w:sz w:val="17"/>
        </w:rPr>
        <w:t xml:space="preserve">Zitiervorschlag: § 56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