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(1) Treffen nach diesem Gesetz zusammen</w:t>
      </w:r>
    </w:p>
    <w:p>
      <w:pPr>
        <w:ind w:left="420"/>
      </w:pPr>
      <w:r>
        <w:t xml:space="preserve">a) eine Beschädigtenrente mit einer Witwen- oder Waisenrente, ist neben den Grundrenten die günstigere Ausgleichsrente zu gewähren,</w:t>
      </w:r>
    </w:p>
    <w:p>
      <w:pPr>
        <w:ind w:left="420"/>
      </w:pPr>
      <w:r>
        <w:t xml:space="preserve">b) ein Berufsschadensausgleich mit einem Schadensausgleich, ist der Berufsschadensausgleich bei der Festsetzung des Schadensausgleichs als Einkommen zu berücksichtigen,</w:t>
      </w:r>
    </w:p>
    <w:p>
      <w:pPr>
        <w:ind w:left="420"/>
      </w:pPr>
      <w:r>
        <w:t xml:space="preserve">c) eine Beschädigten- oder Witwenrente mit einem Anspruch auf Elternrente, sind die Ausgleichsrente, der Ehegattenzuschlag, der Berufsschadensausgleich und der Schadensausgleich bei der Festsetzung der Elternrente als Einkommen zu berücksichtigen.</w:t>
      </w:r>
    </w:p>
    <w:p>
      <w:r>
        <w:t xml:space="preserve">Ist nach Satz 1 Buchstabe a die Witwenausgleichsrente zu gewähren, zählt bei der Feststellung des Berufsschadensausgleichs die Ausgleichsrente nur mit dem Betrag, der ohne das Zusammentreffen als Beschädigtenausgleichsrente zu zahlen wäre, zum derzeitigen Bruttoeinkommen. Das gilt auch, wenn Leistungen nach den Sätzen 1 und 2 mit entsprechenden Leistungen nach anderen Gesetzen zusammentreffen, die eine entsprechende Anwendung dieses Gesetzes vorsehen.</w:t>
      </w:r>
    </w:p>
    <w:p>
      <w:r>
        <w:t xml:space="preserve">(2) Für Witwen- oder Waisenbeihilfen gilt Absatz 1 entsprechend.</w:t>
      </w:r>
    </w:p>
    <w:p>
      <w:r>
        <w:rPr>
          <w:color w:val="555555"/>
          <w:sz w:val="17"/>
        </w:rPr>
        <w:t xml:space="preserve">Zitiervorschlag: § 55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