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Ist eine Schädigung im Sinne des § 1 zugleich ein Unfall im Sinne der gesetzlichen Unfallversicherung, so besteht nur Anspruch nach diesem Gesetz. Das gilt nicht, soweit das schädigende Ereignis vor dem 1. Januar 1942 oder nach dem 8. Mai 1945 eingetreten ist.</w:t>
      </w:r>
    </w:p>
    <w:p>
      <w:r>
        <w:t xml:space="preserve">(2) Personen, bei denen eine Schädigung im Sinne des § 1 infolge einer Heranziehung zur Zwangsarbeit in der Zeit vom 8. Mai 1945 bis zum 5. Oktober 1955 im Beitrittsgebiet verursacht worden ist, sowie deren Hinterbliebene haben keinen Anspruch nach diesem Gesetz. Sie haben Anspruch auf Leistungen der gesetzlichen Unfallversicherung; die Tätigkeit nach Satz 1 gilt als versicherte Tätigkeit. Die Sätze 1 und 2 gelten nicht für Personen, die ihren gewöhnlichen Aufenthalt vor dem 19. Mai 1990 im damaligen Geltungsbereich dieses Gesetzes genommen haben.</w:t>
      </w:r>
    </w:p>
    <w:p>
      <w:r>
        <w:rPr>
          <w:color w:val="555555"/>
          <w:sz w:val="17"/>
        </w:rPr>
        <w:t xml:space="preserve">Zitiervorschlag: § 54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