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53a BVG — Beiträge zur Pflegeversicherung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Rentenberechtigten Beschädigten und Hinterbliebenen, die einen Anspruch auf Heil- oder Krankenbehandlung haben und die bei einem privaten Versicherungsunternehmen oder bei einer Pflegekasse nach § 20 Abs. 3 des Elften Buches Sozialgesetzbuch versichert sind, wird der Beitrag zur Pflegeversicherung erstattet.</w:t>
      </w:r>
    </w:p>
    <w:p>
      <w:r>
        <w:t xml:space="preserve">(2) Der Erstattungsbetrag nach Absatz 1 darf den Betrag nicht übersteigen, der sich bei Zugrundelegung des Beitragssatzes nach § 55 Abs. 1 des Elften Buches Sozialgesetzbuch bei Beschädigten aus der Ausgleichsrente, dem Ehegattenzuschlag und dem Berufsschadensausgleich, bei Hinterbliebenen aus allen Rentenleistungen nach diesem Gesetz ergibt.</w:t>
      </w:r>
    </w:p>
    <w:p>
      <w:r>
        <w:t xml:space="preserve">(3) § 61 Abs. 6 und 7 des Elften Buches Sozialgesetzbuch gilt entsprechend.</w:t>
      </w:r>
    </w:p>
    <w:p>
      <w:r>
        <w:rPr>
          <w:color w:val="555555"/>
          <w:sz w:val="17"/>
        </w:rPr>
        <w:t xml:space="preserve">Zitiervorschlag: § 53a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https://recht.nulegal.eu/gesetze/BVG/53a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