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BVG</w:t>
      </w:r>
    </w:p>
    <w:p>
      <w:r>
        <w:rPr>
          <w:color w:val="555555"/>
          <w:sz w:val="18"/>
        </w:rPr>
        <w:t xml:space="preserve">Bundesversorgungsgesetz</w:t>
      </w:r>
    </w:p>
    <w:p>
      <w:r>
        <w:rPr>
          <w:color w:val="555555"/>
          <w:sz w:val="18"/>
        </w:rPr>
        <w:t xml:space="preserve">Historische Fassung: Stand 01.07.2023 bis 01.01.2024. Dies ist nicht die aktuelle Fassung.</w:t>
      </w:r>
    </w:p>
    <w:p>
      <w:r>
        <w:t xml:space="preserve">Beim Tod von versorgungsberechtigten Hinterbliebenen wird ein Bestattungsgeld nach Maßgabe der Vorschriften des § 36 gewährt. Es beträgt beim Tod einer Witwe oder des hinterbliebenen Lebenspartners, die mindestens ein waisenrenten- oder waisenbeihilfeberechtigtes Kind hinterlassen, 2 154 Euro, in allen übrigen Fällen 1 080 Euro.</w:t>
      </w:r>
    </w:p>
    <w:p>
      <w:r>
        <w:rPr>
          <w:color w:val="555555"/>
          <w:sz w:val="17"/>
        </w:rPr>
        <w:t xml:space="preserve">Zitiervorschlag: § 53 BVG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https://recht.nulegal.eu/gesetze/BVG/53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