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Ist eine Person, deren Hinterbliebenen Versorgung zustehen würde, verschollen, so wird diesen Versorgung schon vor der Todeserklärung gewährt, wenn das Ableben des Verschollenen mit hoher Wahrscheinlichkeit anzunehmen ist. Stellt sich heraus, daß der Verschollene noch lebt, so gelten Leistungen nach Satz 1 als auch zur Erfüllung seiner gesetzlichen Unterhaltspflicht gewährt; er ist von dem Zeitpunkt an zum Ersatz nach den Vorschriften über die Geschäftsführung ohne Auftrag verpflichtet, von dem an er seinen gesetzlichen Unterhaltspflichten aus von ihm zu vertretenden Gründen nicht nachgekommen ist. Weitergehende Ansprüche bleiben unberührt.</w:t>
      </w:r>
    </w:p>
    <w:p>
      <w:r>
        <w:t xml:space="preserve">(2) Ein Kind hat keinen Anspruch auf Rente, wenn der Ehemann der Mutter während der Dauer der Empfängniszeit verschollen war.</w:t>
      </w:r>
    </w:p>
    <w:p>
      <w:r>
        <w:rPr>
          <w:color w:val="555555"/>
          <w:sz w:val="17"/>
        </w:rPr>
        <w:t xml:space="preserve">Zitiervorschlag: § 52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