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BVG</w:t>
      </w:r>
    </w:p>
    <w:p>
      <w:r>
        <w:rPr>
          <w:color w:val="555555"/>
          <w:sz w:val="18"/>
        </w:rPr>
        <w:t xml:space="preserve">Bundesversorgungsgesetz</w:t>
      </w:r>
    </w:p>
    <w:p>
      <w:r>
        <w:rPr>
          <w:color w:val="555555"/>
          <w:sz w:val="18"/>
        </w:rPr>
        <w:t xml:space="preserve">Historische Fassung: Stand 01.07.2023 bis 01.01.2024. Dies ist nicht die aktuelle Fassung.</w:t>
      </w:r>
    </w:p>
    <w:p>
      <w:r>
        <w:t xml:space="preserve">(1) Die volle Elternrente beträgt monatlich</w:t>
      </w:r>
    </w:p>
    <w:p>
      <w:r>
        <w:rPr>
          <w:rFonts w:ascii="Courier New" w:hAnsi="Courier New"/>
          <w:sz w:val="17"/>
        </w:rPr>
        <w:t xml:space="preserve">bei einem Elternpaar    726 Euro,</w:t>
      </w:r>
    </w:p>
    <w:p>
      <w:r>
        <w:rPr>
          <w:rFonts w:ascii="Courier New" w:hAnsi="Courier New"/>
          <w:sz w:val="17"/>
        </w:rPr>
        <w:t xml:space="preserve">bei einem Elternteil    506 Euro.</w:t>
      </w:r>
    </w:p>
    <w:p>
      <w:r>
        <w:t xml:space="preserve">(2) Sind mehrere Kinder an den Folgen einer Schädigung gestorben, so erhöhen sich die in Absatz 1 genannten Beträge für jedes weitere Kind monatlich</w:t>
      </w:r>
    </w:p>
    <w:p>
      <w:r>
        <w:rPr>
          <w:rFonts w:ascii="Courier New" w:hAnsi="Courier New"/>
          <w:sz w:val="17"/>
        </w:rPr>
        <w:t xml:space="preserve">bei einem Elternpaar um    133 Euro,</w:t>
      </w:r>
    </w:p>
    <w:p>
      <w:r>
        <w:rPr>
          <w:rFonts w:ascii="Courier New" w:hAnsi="Courier New"/>
          <w:sz w:val="17"/>
        </w:rPr>
        <w:t xml:space="preserve">bei einem Elternteil um    100 Euro.</w:t>
      </w:r>
    </w:p>
    <w:p>
      <w:r>
        <w:t xml:space="preserve">Die Erhöhung wird auch gewährt für Kinder, die</w:t>
      </w:r>
    </w:p>
    <w:p>
      <w:pPr>
        <w:ind w:left="420"/>
      </w:pPr>
      <w:r>
        <w:t xml:space="preserve">a) infolge einer Schädigung im Sinne von Gesetzen, die eine entsprechende Anwendung dieses Gesetzes vorsehen, gestorben oder</w:t>
      </w:r>
    </w:p>
    <w:p>
      <w:pPr>
        <w:ind w:left="420"/>
      </w:pPr>
      <w:r>
        <w:t xml:space="preserve">b) infolge einer Schädigung im Sinne dieses Gesetzes oder von Gesetzen, die eine entsprechende Anwendung dieses Gesetzes vorsehen, verschollen sind.</w:t>
      </w:r>
    </w:p>
    <w:p>
      <w:r>
        <w:t xml:space="preserve">(3) Ist das einzige oder das letzte Kind oder sind alle oder mindestens drei Kinder an den Folgen einer Schädigung gestorben, so erhöhen sich, wenn es günstiger ist, die in Absatz 1 genannten Beträge monatlich</w:t>
      </w:r>
    </w:p>
    <w:p>
      <w:r>
        <w:rPr>
          <w:rFonts w:ascii="Courier New" w:hAnsi="Courier New"/>
          <w:sz w:val="17"/>
        </w:rPr>
        <w:t xml:space="preserve">bei einem Elternpaar um    411 Euro,</w:t>
      </w:r>
    </w:p>
    <w:p>
      <w:r>
        <w:rPr>
          <w:rFonts w:ascii="Courier New" w:hAnsi="Courier New"/>
          <w:sz w:val="17"/>
        </w:rPr>
        <w:t xml:space="preserve">bei einem Elternteil um    300 Euro.</w:t>
      </w:r>
    </w:p>
    <w:p>
      <w:r>
        <w:t xml:space="preserve">Absatz 2 Satz 2 gilt entsprechend.</w:t>
      </w:r>
    </w:p>
    <w:p>
      <w:r>
        <w:t xml:space="preserve">(4) § 41 Abs. 3 gilt entsprechend mit der Maßgabe, daß das anzurechnende Einkommen stets so zu ermitteln ist, als ob das Einkommen nicht zu den Einkünften aus gegenwärtiger Erwerbstätigkeit (§ 33 Abs. 2) gehörte; es ist auf die Erhöhung nach Absatz 2 oder 3 nur insoweit anzurechnen, als es nicht bereits zum Wegfall der Elternrente geführt hat.</w:t>
      </w:r>
    </w:p>
    <w:p>
      <w:r>
        <w:t xml:space="preserve">(5) Ist von einem Ehepaar oder einer Lebenspartnerschaft nur ein Partner anspruchsberechtigt, ist die Elternrente für ein Elternpaar um das anzurechnende Einkommen beider Partner zu mindern; die Rente darf jedoch die volle Rente für einen Elternteil einschließlich der Erhöhungen nach den Absätzen 2 und 3 nicht übersteigen.</w:t>
      </w:r>
    </w:p>
    <w:p>
      <w:r>
        <w:t xml:space="preserve">(6) Ergeben sich Renten von weniger als 3 Euro monatlich, so werden sie auf diesen Betrag erhöht.</w:t>
      </w:r>
    </w:p>
    <w:p>
      <w:r>
        <w:t xml:space="preserve">(7) Als Kinder im Sinne der Absätze 2 und 3 gelten auch Stief- und Pflegekinder. Ob das an den Folgen einer Schädigung gestorbene Kind das einzige oder das letzte Kind ist, richtet sich nach den Verhältnissen im Zeitpunkt des Verlustes des Kindes.</w:t>
      </w:r>
    </w:p>
    <w:p>
      <w:r>
        <w:t xml:space="preserve">(8) Kommen für ein Elternpaar oder einen Elternteil mehrere Elternrenten nach diesem Gesetz oder Gesetzen, die eine entsprechende Anwendung dieses Gesetzes vorsehen, in Betracht, so wird nur die günstigere Rente gewährt.</w:t>
      </w:r>
    </w:p>
    <w:p>
      <w:r>
        <w:t xml:space="preserve">(9) Stirbt bei Empfängern von Elternrente für ein Elternpaar ein Ehegatte oder Lebenspartner, ist dem überlebenden Ehegatten oder Lebenspartner die für den Sterbemonat zustehende Elternrente für ein Elternpaar anstelle der Rente für einen Elternteil für die folgenden drei Monate weiterzuzahlen, wenn dies günstiger ist. Minderungen der nach Satz 1 maßgebenden Rente für ein Elternpaar, die durch Sonderleistungen im Sinne des § 60a Abs. 4 bedingt sind, sowie Erhöhungen dieser Bezüge, die auf Einkommensminderungen infolge des Todes beruhen, bleiben unberücksichtigt.</w:t>
      </w:r>
    </w:p>
    <w:p>
      <w:r>
        <w:rPr>
          <w:color w:val="555555"/>
          <w:sz w:val="17"/>
        </w:rPr>
        <w:t xml:space="preserve">Zitiervorschlag: § 51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