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Als unmittelbare Kriegseinwirkung im Sinne des § 1 Abs. 2 Buchstabe a gelten, wenn sie im Zusammenhang mit einem der beiden Weltkriege stehen,</w:t>
      </w:r>
    </w:p>
    <w:p>
      <w:pPr>
        <w:ind w:left="420"/>
      </w:pPr>
      <w:r>
        <w:t xml:space="preserve">a) Kampfhandlungen und damit unmittelbar zusammenhängende militärische Maßnahmen, insbesondere die Einwirkung von Kampfmitteln,</w:t>
      </w:r>
    </w:p>
    <w:p>
      <w:pPr>
        <w:ind w:left="420"/>
      </w:pPr>
      <w:r>
        <w:t xml:space="preserve">b) behördliche Maßnahmen in unmittelbarem Zusammenhang mit Kampfhandlungen oder ihrer Vorbereitung, mit Ausnahme der allgemeinen Verdunklungsmaßnahmen,</w:t>
      </w:r>
    </w:p>
    <w:p>
      <w:pPr>
        <w:ind w:left="420"/>
      </w:pPr>
      <w:r>
        <w:t xml:space="preserve">c) Einwirkungen, denen der Beschädigte durch die besonderen Umstände der Flucht vor einer aus kriegerischen Vorgängen unmittelbar drohenden Gefahr für Leib oder Leben ausgesetzt war,</w:t>
      </w:r>
    </w:p>
    <w:p>
      <w:pPr>
        <w:ind w:left="420"/>
      </w:pPr>
      <w:r>
        <w:t xml:space="preserve">d) schädigende Vorgänge, die infolge einer mit der militärischen Besetzung deutschen oder ehemals deutsch besetzten Gebiets oder mit der zwangsweisen Umsiedlung oder Verschleppung zusammenhängenden besonderen Gefahr eingetreten sind,</w:t>
      </w:r>
    </w:p>
    <w:p>
      <w:pPr>
        <w:ind w:left="420"/>
      </w:pPr>
      <w:r>
        <w:t xml:space="preserve">e) nachträgliche Auswirkungen kriegerischer Vorgänge, die einen kriegseigentümlichen Gefahrenbereich hinterlassen haben.</w:t>
      </w:r>
    </w:p>
    <w:p>
      <w:r>
        <w:t xml:space="preserve">(2) Als nachträgliche Auswirkungen kriegerischer Vorgänge (Absatz 1 Buchstabe e) gelten auch Schäden, die in Verbindung</w:t>
      </w:r>
    </w:p>
    <w:p>
      <w:pPr>
        <w:ind w:left="420"/>
      </w:pPr>
      <w:r>
        <w:t xml:space="preserve">a) mit dem zweiten Weltkrieg durch Angehörige oder sonstige Beschäftigte der Besatzungsmächte oder durch Verkehrsmittel (auch Flugzeuge) der Besatzungsmächte vor dem Tag verursacht worden sind, von dem an Leistungen nach anderen Vorschriften gewährt werden,</w:t>
      </w:r>
    </w:p>
    <w:p>
      <w:pPr>
        <w:ind w:left="420"/>
      </w:pPr>
      <w:r>
        <w:t xml:space="preserve">b) mit dem ersten Weltkrieg durch die in § 1 Nr. 1 des Gesetzes über den Ersatz der durch die Besetzung deutschen Reichsgebiets verursachten Personenschäden (Besatzungspersonenschädengesetz) in der Fassung der Bekanntmachung vom 12. April 1927 (RGBl. I S. 103) bezeichneten Ereignisse verursacht worden sind und zur Zuerkennung von Leistungen geführt hatten.</w:t>
      </w:r>
    </w:p>
    <w:p>
      <w:r>
        <w:rPr>
          <w:color w:val="555555"/>
          <w:sz w:val="17"/>
        </w:rPr>
        <w:t xml:space="preserve">Zitiervorschlag: § 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