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Ist der Beschädigte an den Folgen einer Schädigung gestorben, so erhalten die Eltern Elternrente, frühestens jedoch von dem Monat an, in dem der Beschädigte das 18. Lebensjahr vollendet hätte.</w:t>
      </w:r>
    </w:p>
    <w:p>
      <w:r>
        <w:t xml:space="preserve">(2) Den Eltern werden gleichgestellt</w:t>
      </w:r>
    </w:p>
    <w:p>
      <w:pPr>
        <w:ind w:left="420"/>
      </w:pPr>
      <w:r>
        <w:t xml:space="preserve">1. Adoptiveltern, wenn sie den Verstorbenen vor der Schädigung als Kind angenommen haben,</w:t>
      </w:r>
    </w:p>
    <w:p>
      <w:pPr>
        <w:ind w:left="420"/>
      </w:pPr>
      <w:r>
        <w:t xml:space="preserve">2. Stief- und Pflegeeltern, wenn sie den Verstorbenen vor der Schädigung unentgeltlich unterhalten haben,</w:t>
      </w:r>
    </w:p>
    <w:p>
      <w:pPr>
        <w:ind w:left="420"/>
      </w:pPr>
      <w:r>
        <w:t xml:space="preserve">3. Großeltern, wenn der Verstorbene ihnen Unterhalt geleistet hat oder hätte.</w:t>
      </w:r>
    </w:p>
    <w:p>
      <w:r>
        <w:rPr>
          <w:color w:val="555555"/>
          <w:sz w:val="17"/>
        </w:rPr>
        <w:t xml:space="preserve">Zitiervorschlag: § 49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