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48a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§ 42 Abs. 1, § 43 und § 48 Abs. 4 in der vom 1. Januar 1986 an geltenden Fassung gelten nur, wenn der Beschädigte nach dem 31. Dezember 1985 gestorben ist.</w:t>
      </w:r>
    </w:p>
    <w:p>
      <w:r>
        <w:t xml:space="preserve">(2) § 42 Abs. 1, § 43 und § 48 Abs. 4 in der bis zum 31. Dezember 1985 geltenden Fassung gelten hinsichtlich der Anspruchsvoraussetzungen für die Hinterbliebenenversorgung weiter, wenn der Beschädigte vor dem 1. Januar 1986 gestorben ist.</w:t>
      </w:r>
    </w:p>
    <w:p>
      <w:r>
        <w:rPr>
          <w:color w:val="555555"/>
          <w:sz w:val="17"/>
        </w:rPr>
        <w:t xml:space="preserve">Zitiervorschlag: § 48a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