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Ist ein rentenberechtigter Beschädigter nicht an den Folgen der Schädigung gestorben, so ist der Witwe, dem hinterbliebenen Lebenspartner und den Waisen (§ 45) eine Witwen- und Waisenbeihilfe zu zahlen, wenn der Beschädigte durch die Folgen der Schädigung gehindert war, eine entsprechende Erwerbstätigkeit auszuüben, und dadurch die aus der Ehe mit dem Beschädigten hergeleitete Witwenversorgung insgesamt mindestens um den folgenden Vomhundertsatz gemindert ist:</w:t>
      </w:r>
    </w:p>
    <w:p>
      <w:r>
        <w:rPr>
          <w:rFonts w:ascii="Courier New" w:hAnsi="Courier New"/>
          <w:sz w:val="17"/>
        </w:rPr>
        <w:t xml:space="preserve">Höhe der abgeleiteten Witwenversorgung insgesamt in v.H. eines Zwölftels des in § 33 Abs. 1 Buchstabe a genannten Bemessungsbetrags    Minderung um mindestens</w:t>
      </w:r>
    </w:p>
    <w:p>
      <w:r>
        <w:rPr>
          <w:rFonts w:ascii="Courier New" w:hAnsi="Courier New"/>
          <w:sz w:val="17"/>
        </w:rPr>
        <w:t xml:space="preserve">36 und mehr    15 v.H.</w:t>
      </w:r>
    </w:p>
    <w:p>
      <w:r>
        <w:rPr>
          <w:rFonts w:ascii="Courier New" w:hAnsi="Courier New"/>
          <w:sz w:val="17"/>
        </w:rPr>
        <w:t xml:space="preserve">34 bis unter 36    14 v.H.</w:t>
      </w:r>
    </w:p>
    <w:p>
      <w:r>
        <w:rPr>
          <w:rFonts w:ascii="Courier New" w:hAnsi="Courier New"/>
          <w:sz w:val="17"/>
        </w:rPr>
        <w:t xml:space="preserve">32 bis unter 34    13 v.H.</w:t>
      </w:r>
    </w:p>
    <w:p>
      <w:r>
        <w:rPr>
          <w:rFonts w:ascii="Courier New" w:hAnsi="Courier New"/>
          <w:sz w:val="17"/>
        </w:rPr>
        <w:t xml:space="preserve">30 bis unter 32    12 v.H.</w:t>
      </w:r>
    </w:p>
    <w:p>
      <w:r>
        <w:rPr>
          <w:rFonts w:ascii="Courier New" w:hAnsi="Courier New"/>
          <w:sz w:val="17"/>
        </w:rPr>
        <w:t xml:space="preserve">28 bis unter 30    11 v.H.</w:t>
      </w:r>
    </w:p>
    <w:p>
      <w:r>
        <w:rPr>
          <w:rFonts w:ascii="Courier New" w:hAnsi="Courier New"/>
          <w:sz w:val="17"/>
        </w:rPr>
        <w:t xml:space="preserve">unter 28    10 v.H.</w:t>
      </w:r>
    </w:p>
    <w:p>
      <w:r>
        <w:t xml:space="preserve">Die Höhe der Witwenversorgung und der Betrag der Minderung sind unter Berücksichtigung der rentenversicherungsrechtlichen Vorschriften über die Anrechnung eigenen Einkommens der Witwe oder des hinterbliebenen Lebenspartners festzustellen. Der nach der Tabelle maßgebende Vomhundertsatz der Minderung ist auf die Witwenversorgung zu beziehen, die sich ohne die Minderung im Sinne des Satzes 1 und ohne die Anrechnung eigenen Einkommens der Witwe ergäbe. Wird keine Witwenrente gezahlt, ist eine fiktive Witwenrente zu berechnen und danach das Ausmaß der Minderung festzustellen. Die Voraussetzungen des Satzes 1 gelten als erfüllt, wenn der Beschädigte im Zeitpunkt seines Todes Anspruch auf die Grundrente eines Beschädigten mit einem Grad der Schädigungsfolgen von 100 oder wegen nicht nur vorübergehender Hilflosigkeit Anspruch auf eine Pflegezulage hatte; § 40a Abs. 3 Satz 3 gilt. Die Voraussetzungen des Satzes 1 gelten auch als erfüllt, wenn der Beschädigte mindestens fünf Jahre Anspruch auf Berufsschadensausgleich wegen eines Einkommensverlustes im Sinne des § 30 Abs. 4 oder auf Berufsschadensausgleich nach § 30 Abs. 6 hatte.</w:t>
      </w:r>
    </w:p>
    <w:p>
      <w:r>
        <w:t xml:space="preserve">(2) Die Witwen- und Waisenbeihilfe werden in Höhe von zwei Dritteln, bei Witwen, hinterbliebenen Lebenspartner und Waisen von Beschädigten mit Anspruch auf die Grundrente eines Beschädigten mit einem Grad der Schädigungsfolgen von 100 oder auf eine Pflegezulage in voller Höhe der entsprechenden Witwen- oder Waisenrente (§§ 40, 40a, 41, 46 und 47) gezahlt. Übersteigt das monatliche Bruttoeinkommen der Hinterbliebenen von Beschädigten, die im Zeitpunkt des Todes einen Anspruch auf Rente nach einem Grad der Schädigungsfolgen von 30 bis 90 hatten,</w:t>
      </w:r>
    </w:p>
    <w:p>
      <w:r>
        <w:rPr>
          <w:rFonts w:ascii="Courier New" w:hAnsi="Courier New"/>
          <w:sz w:val="17"/>
        </w:rPr>
        <w:t xml:space="preserve">bei der Witwe oder dem hinterbliebenen Lebenspartner    ein Zwölftel,</w:t>
      </w:r>
    </w:p>
    <w:p>
      <w:r>
        <w:rPr>
          <w:rFonts w:ascii="Courier New" w:hAnsi="Courier New"/>
          <w:sz w:val="17"/>
        </w:rPr>
        <w:t xml:space="preserve">bei der Halbwaise    ein Vierundzwanzigstel,</w:t>
      </w:r>
    </w:p>
    <w:p>
      <w:r>
        <w:rPr>
          <w:rFonts w:ascii="Courier New" w:hAnsi="Courier New"/>
          <w:sz w:val="17"/>
        </w:rPr>
        <w:t xml:space="preserve">bei der Vollwaise    ein Achtzehntel</w:t>
      </w:r>
    </w:p>
    <w:p>
      <w:r>
        <w:t xml:space="preserve">des in § 33 Abs. 1 Buchstabe a genannten Bemessungsbetrages, ist die zu gewährende Beihilfe um den übersteigenden Betrag zu kürzen; errechnet sich kein Zahlbetrag, entfällt der Anspruch auf Versorgung.</w:t>
      </w:r>
    </w:p>
    <w:p>
      <w:r>
        <w:t xml:space="preserve">(3) Im Falle der Wiederverheiratung oder Begründung einer Lebenspartnerschaft der Witwe oder im Falle der Verheiratung oder Begründung einer neuen Lebenspartnerschaft des hinterbliebenen Lebenspartners gilt § 44 entsprechend. Als Abfindung wird der fünfzigfache Monatsbetrag der Grundrente einer Witwe gewährt, wenn Witwenbeihilfe in Höhe der vollen Rente bezogen worden ist, sonst werden zwei Drittel dieses Betrags gewährt.</w:t>
      </w:r>
    </w:p>
    <w:p>
      <w:r>
        <w:t xml:space="preserve">(4) Die Absätze 1 bis 3 finden auf Witwer Anwendung.</w:t>
      </w:r>
    </w:p>
    <w:p>
      <w:r>
        <w:t xml:space="preserve">(5) Für den Wegfall der Waisenbeihilfe gelten die Vorschriften für die Waisenrente.</w:t>
      </w:r>
    </w:p>
    <w:p>
      <w:r>
        <w:t xml:space="preserve">(6) Die Absätze 1 bis 5 gelten entsprechend, wenn der Beschädigte die Ansprüche nur deshalb nicht geltend machen konnte, weil er vor dem 1. Januar 1991 seinen Wohnsitz oder gewöhnlichen Aufenthalt in dem in Artikel 3 des Einigungsvertrages genannten Gebiet hatte.</w:t>
      </w:r>
    </w:p>
    <w:p>
      <w:r>
        <w:rPr>
          <w:color w:val="555555"/>
          <w:sz w:val="17"/>
        </w:rPr>
        <w:t xml:space="preserve">Zitiervorschlag: § 48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