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01.07.2023 bis 01.01.2024. Dies ist nicht die aktuelle Fassung.</w:t>
      </w:r>
    </w:p>
    <w:p>
      <w:r>
        <w:t xml:space="preserve">(1) Die volle Ausgleichsrente beträgt monatlich</w:t>
      </w:r>
    </w:p>
    <w:p>
      <w:r>
        <w:rPr>
          <w:rFonts w:ascii="Courier New" w:hAnsi="Courier New"/>
          <w:sz w:val="17"/>
        </w:rPr>
        <w:t xml:space="preserve">bei Halbwaisen    265 Euro,</w:t>
      </w:r>
    </w:p>
    <w:p>
      <w:r>
        <w:rPr>
          <w:rFonts w:ascii="Courier New" w:hAnsi="Courier New"/>
          <w:sz w:val="17"/>
        </w:rPr>
        <w:t xml:space="preserve">bei Vollwaisen    370 Euro.</w:t>
      </w:r>
    </w:p>
    <w:p>
      <w:r>
        <w:t xml:space="preserve">(2) § 33 gilt mit Ausnahme von Absatz 1 Satz 2 Buchstabe b und Absatz 4 entsprechend.</w:t>
      </w:r>
    </w:p>
    <w:p>
      <w:r>
        <w:rPr>
          <w:color w:val="555555"/>
          <w:sz w:val="17"/>
        </w:rPr>
        <w:t xml:space="preserve">Zitiervorschlag: § 47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