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28.09.2023 bis 01.01.2024. Dies ist nicht die aktuelle Fassung.</w:t>
      </w:r>
    </w:p>
    <w:p>
      <w:r>
        <w:t xml:space="preserve">Die Grundrente beträgt monatlich</w:t>
      </w:r>
    </w:p>
    <w:p>
      <w:r>
        <w:rPr>
          <w:rFonts w:ascii="Courier New" w:hAnsi="Courier New"/>
          <w:sz w:val="17"/>
        </w:rPr>
        <w:t xml:space="preserve">bei Halbwaisen    234 Euro,</w:t>
      </w:r>
    </w:p>
    <w:p>
      <w:r>
        <w:rPr>
          <w:rFonts w:ascii="Courier New" w:hAnsi="Courier New"/>
          <w:sz w:val="17"/>
        </w:rPr>
        <w:t xml:space="preserve">bei Vollwaisen    410 Euro.</w:t>
      </w:r>
    </w:p>
    <w:p>
      <w:r>
        <w:rPr>
          <w:color w:val="555555"/>
          <w:sz w:val="17"/>
        </w:rPr>
        <w:t xml:space="preserve">Zitiervorschlag: § 46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