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Im Falle der Scheidung, Aufhebung oder Nichtigerklärung der Ehe oder der Aufhebung der Lebenspartnerschaft steht der frühere Ehegatte oder Lebenspartner des Verstorbenen einer Witwe oder einem hinterbliebenen Lebenspartner gleich, wenn der Verstorbene zur Zeit seines Todes Unterhalt nach ehe- oder familienrechtlichen Vorschriften oder aus sonstigen Gründen zu leisten hatte oder im letzten Jahr vor seinem Tode geleistet hat. Eine Versorgung ist nur so lange zu leisten, als der frühere Ehegatte oder Lebenspartner nach den ehe- oder familienrechtlichen Vorschriften unterhaltsberechtigt gewesen wäre oder sonst Unterhaltsleistungen erhalten hätte. Hat eine Unterhaltspflicht aus kriegs- oder wehrdienstbedingten Gründen nicht bestanden, so bleibt dies unberücksichtigt. Ist die Ehe im Zusammenhang mit einer Gesundheitsstörung des Verstorbenen, die Folge einer Schädigung im Sinne des § 1 war, geschieden, aufgehoben oder für nichtig erklärt oder die Lebenspartnerschaft aus dem gleichen Grunde aufgehoben worden, so steht der frühere Ehegatte oder Lebenspartner auch ohne die Voraussetzungen des Satzes 1 einer Witwe oder einem hinterbliebenen Lebenspartner gleich.</w:t>
      </w:r>
    </w:p>
    <w:p>
      <w:r>
        <w:t xml:space="preserve">(2) Entsprechendes gilt, wenn beim Tod des Beschädigten die eheliche Gemeinschaft aufgehoben war.</w:t>
      </w:r>
    </w:p>
    <w:p>
      <w:r>
        <w:rPr>
          <w:color w:val="555555"/>
          <w:sz w:val="17"/>
        </w:rPr>
        <w:t xml:space="preserve">Zitiervorschlag: § 42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