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40a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Witwen oder hinterbliebene Lebenspartner, deren Einkommen geringer ist als die Hälfte des Einkommens, das der Ehemann oder der verstorbene Lebenspartner ohne die Schädigung erzielt hätte, erhalten einen Schadensausgleich in Höhe von 42,5 vom Hundert des festgestellten, auf volle Euro aufgerundeten Unterschiedsbetrags (Absatz 2) oder, falls dies günstiger ist, einen Schadensausgleich nach Absatz 4. Ein Schadensausgleich ist nur zu gewähren, wenn die Witwe oder der hinterbliebene Lebenspartner die Voraussetzungen des § 41 Abs. 1 Satz 1 erfüllt. § 41 Abs. 1 Satz 2 gilt entsprechend.</w:t>
      </w:r>
    </w:p>
    <w:p>
      <w:r>
        <w:t xml:space="preserve">(2) Zur Feststellung des Schadensausgleichs ist das von der Witwe oder dem hinterbliebenen Lebenspartner erzielte Bruttoeinkommen zuzüglich der Grundrente (§ 40), des Pflegeausgleichs (§ 40b) und der Ausgleichsrente (§ 41 oder §§ 32 und 33) der Hälfte des nach § 30 Abs. 5 ermittelten Vergleichseinkommens aus dem Grundgehalt der Besoldungsgruppe der Bundesbesoldungsordnung A, der der Verstorbene ohne die Schädigung nach seinen Lebensverhältnissen, Kenntnissen und Fähigkeiten wahrscheinlich zugeordnet worden wäre, gegenüberzustellen.</w:t>
      </w:r>
    </w:p>
    <w:p>
      <w:r>
        <w:t xml:space="preserve">(3) Hatte der Verstorbene im Zeitpunkt seines Todes Anspruch auf die Grundrente eines Beschädigten mit einem Grad der Schädigungsfolgen von 100 und auf eine Pflegezulage mindestens nach Stufe III wegen nicht nur vorübergehender Hilflosigkeit (§ 35) oder auf entsprechende Leistungen nach früheren versorgungsrechtlichen Vorschriften, so ist, falls es günstiger ist, abweichend von Absatz 2 die Hälfte des nach § 30 Abs. 5 aus dem Endgrundgehalt der Besoldungsgruppe A 14 zuzüglich des Familienzuschlag nach Stufe 1 des Bundesbesoldungsgesetzes ermittelten Vergleichseinkommens zugrunde zu legen. Das gleiche gilt, wenn der Verstorbene diese Ansprüche nur deshalb nicht geltend machen konnte, weil er vor dem 1. Januar 1991 seinen Wohnsitz oder gewöhnlichen Aufenthalt in dem in Artikel 3 des Einigungsvertrages genannten Gebiet hatte. Als nicht nur vorübergehend gilt ein Zeitraum von mehr als sechs Monaten. Ein nach Satz 1 berechneter Schadensausgleich wird auch gezahlt, wenn die Voraussetzungen nach Absatz 1 Satz 1 nicht erfüllt sind.</w:t>
      </w:r>
    </w:p>
    <w:p>
      <w:r>
        <w:t xml:space="preserve">(4) Der nach Absatz 1 Satz 1 letzter Satzteil zu zahlende Schadensausgleich beträgt 30 vom Hundert des Vergleichseinkommens nach § 30 Abs. 5 abzüglich des Nettoeinkommens der Witwe oder des hinterbliebenen Lebenspartners sowie der Grundrente (§ 40), des Pflegeausgleichs (§ 40b) und der Ausgleichsrente (§ 41 oder §§ 32 und 33). Dabei wird das Nettoeinkommen in entsprechender Anwendung des § 30 Abs. 8 Satz 1 ermittelt.</w:t>
      </w:r>
    </w:p>
    <w:p>
      <w:r>
        <w:t xml:space="preserve">(5) Der Schadensausgleich wird ausschließlich nach Absatz 4 berechnet, wenn der Antrag erstmalig nach dem 21. Dezember 2007 gestellt wird. Die Anwendbarkeit von Absatz 3 bleibt hiervon unberührt. Im Übrigen trifft die zuständige Behörde letztmalig zum Stichtag nach Satz 1 die Günstigkeitsfeststellung nach Absatz 1 Satz 1 und legt damit die zukünftige Berechnungsart fest.</w:t>
      </w:r>
    </w:p>
    <w:p>
      <w:r>
        <w:t xml:space="preserve">(6) § 30 Abs. 14 gilt entsprechend.</w:t>
      </w:r>
    </w:p>
    <w:p>
      <w:r>
        <w:rPr>
          <w:color w:val="555555"/>
          <w:sz w:val="17"/>
        </w:rPr>
        <w:t xml:space="preserve">Zitiervorschlag: § 40a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https://recht.nulegal.eu/gesetze/BVG/40a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