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Zum militärischen oder militärähnlichen Dienst gehören auch</w:t>
      </w:r>
    </w:p>
    <w:p>
      <w:pPr>
        <w:ind w:left="420"/>
      </w:pPr>
      <w:r>
        <w:t xml:space="preserve">a) der Weg des Einberufenen zum Gestellungsort und der Heimweg nach Beendigung des Dienstverhältnisses,</w:t>
      </w:r>
    </w:p>
    <w:p>
      <w:pPr>
        <w:ind w:left="420"/>
      </w:pPr>
      <w:r>
        <w:t xml:space="preserve">b) Dienstreisen, Dienstgänge und die dienstliche Tätigkeit am Bestimmungsort,</w:t>
      </w:r>
    </w:p>
    <w:p>
      <w:pPr>
        <w:ind w:left="420"/>
      </w:pPr>
      <w:r>
        <w:t xml:space="preserve">c) das Zurücklegen des mit dem Dienst zusammenhängenden Weges nach und von der Dienststelle und</w:t>
      </w:r>
    </w:p>
    <w:p>
      <w:pPr>
        <w:ind w:left="420"/>
      </w:pPr>
      <w:r>
        <w:t xml:space="preserve">d) die Teilnahme an dienstlichen Veranstaltungen.</w:t>
      </w:r>
    </w:p>
    <w:p>
      <w:r>
        <w:t xml:space="preserve">Hatte der Beschädigte wegen der Entfernung seiner ständigen Familienwohnung vom Dienstort an diesem oder in dessen Nähe eine Unterkunft, gilt Satz 1 Buchstabe c auch für den Weg von und nach der Familienwohnung.</w:t>
      </w:r>
    </w:p>
    <w:p>
      <w:r>
        <w:t xml:space="preserve">(2) Absatz 1 gilt entsprechend für Kriegsgefangene, Internierte und Verschleppte.</w:t>
      </w:r>
    </w:p>
    <w:p>
      <w:r>
        <w:t xml:space="preserve">(3) Für Entlassene, die innerhalb der jetzigen Grenzen des Bundesgebiets keine Wohnung haben, gilt der Entlassungsweg mit dem Eintreffen an dem vorläufig zugewiesenen Aufenthaltsort als beendet.</w:t>
      </w:r>
    </w:p>
    <w:p>
      <w:r>
        <w:rPr>
          <w:color w:val="555555"/>
          <w:sz w:val="17"/>
        </w:rPr>
        <w:t xml:space="preserve">Zitiervorschlag: § 4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