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Ist ein Beschädigter an den Folgen einer Schädigung gestorben, so haben die Witwe, der hinterbliebene Lebenspartner, die Waisen und die Verwandten der aufsteigenden Linie Anspruch auf Hinterbliebenenrente. Der Tod gilt stets dann als Folge einer Schädigung, wenn ein Beschädigter an einem Leiden stirbt, das als Folge einer Schädigung rechtsverbindlich anerkannt und für das ihm im Zeitpunkt des Todes Rente zuerkannt war.</w:t>
      </w:r>
    </w:p>
    <w:p>
      <w:r>
        <w:t xml:space="preserve">(2) Die Witwe oder der hinterbliebene Lebenspartner haben keinen Anspruch, wenn die Ehe oder die Lebenspartnerschaft erst nach der Schädigung geschlossen worden ist und nicht mindestens ein Jahr gedauert hat, es sei denn, dass nach den besonderen Umständen des Falles die Annahme nicht gerechtfertigt ist, dass es der alleinige oder überwiegende Zweck der Heirat oder der Begründung der Lebenspartnerschaft war, der Witwe oder dem hinterbliebenen Lebenspartner eine Versorgung zu verschaffen.</w:t>
      </w:r>
    </w:p>
    <w:p>
      <w:r>
        <w:t xml:space="preserve">(3) Ein hinterbliebener Lebenspartner hat keinen Anspruch auf Versorgung, wenn eine Witwe, die im Zeitpunkt des Todes mit dem Beschädigten verheiratet war, Anspruch auf eine Witwenversorgung hat.</w:t>
      </w:r>
    </w:p>
    <w:p>
      <w:r>
        <w:rPr>
          <w:color w:val="555555"/>
          <w:sz w:val="17"/>
        </w:rPr>
        <w:t xml:space="preserve">Zitiervorschlag: § 38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