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Stirbt eine Beschädigte oder ein Beschädigter an den Schädigungsfolgen, so hat diejenige Person einen Anspruch auf Übernahme der Kosten der Überführung, die die Überführung veranlasst hat. Der Anspruch auf Übernahme umfasst die erforderlichen und angemessenen Kosten der Überführung an den Ort der Bestattung.</w:t>
      </w:r>
    </w:p>
    <w:p>
      <w:r>
        <w:t xml:space="preserve">(2) Stirbt eine Beschädigte oder ein Beschädigter während einer nach den Vorschriften dieses Gesetzes durchgeführten stationären Heilbehandlung nicht an den Schädigungsfolgen, so hat diejenige Person einen Anspruch auf Übernahme der Kosten der Überführung, die die Überführung veranlasst hat. Absatz 1 Satz 2 gilt entsprechend.</w:t>
      </w:r>
    </w:p>
    <w:p>
      <w:r>
        <w:t xml:space="preserve">(3) Stirbt eine Beschädigte oder ein Beschädigter an den Schädigungsfolgen, so werden die Kosten der Bestattung bis zur Höhe eines Siebtels der zum Zeitpunkt des Todes geltenden Bezugsgröße nach § 18 Absatz 1 des Vierten Buches Sozialgesetzbuch übernommen. Den Anspruch auf Übernahme der Kosten der Bestattung hat diejenige Person, die die Bestattung veranlasst hat.</w:t>
      </w:r>
    </w:p>
    <w:p>
      <w:r>
        <w:t xml:space="preserve">(4) Stirbt eine rentenberechtigte Beschädigte oder ein rentenberechtigter Beschädigter an den Schädigungsfolgen, so wird ein Bestattungsgeld in Höhe von mindestens 2 154 Euro gezahlt. Hiervon werden zunächst die Kosten der Bestattung bestritten. Bleibt ein Überschuss, so sind nacheinander der Ehegatte, die eingetragene Lebenspartnerin oder der eingetragene Lebenspartner, die Kinder, die Eltern, die Stiefeltern, die Pflegeeltern, die Enkel, die Großeltern, die Geschwister und die Geschwisterkinder bezugsberechtigt, wenn sie mit der oder dem Verstorbenen zur Zeit des Todes in häuslicher Gemeinschaft gelebt haben. Fehlen solche Berechtigte, so wird der Überschuss nicht ausgezahlt.</w:t>
      </w:r>
    </w:p>
    <w:p>
      <w:r>
        <w:t xml:space="preserve">(5) Es wird unwiderlegbar vermutet, dass der Tod Schädigungsfolge ist, wenn eine Beschädigte oder ein Beschädigter an einer Gesundheitsstörung stirbt, die als Schädigungsfolge anerkannt ist.</w:t>
      </w:r>
    </w:p>
    <w:p>
      <w:r>
        <w:t xml:space="preserve">(6) Stirbt eine rentenberechtigte Beschädigte oder ein rentenberechtigter Beschädigter, ohne dass der Tod Schädigungsfolge ist, so hat diejenige Person, die die Bestattung veranlasst hat, einen Anspruch auf Übernahme der Kosten der Bestattung bis zur Höhe von 1 080 Euro. Lagen die Bestattungskosten unter 1 080 Euro, so wird der Überschuss als Bestattungsgeld gezahlt. Absatz 4 Satz 3 und 4 gilt entsprechend.</w:t>
      </w:r>
    </w:p>
    <w:p>
      <w:r>
        <w:t xml:space="preserve">(7) Auf das Bestattungsgeld werden einmalige Leistungen angerechnet, die anlässlich des Todes auf Grund öffentlich-rechtlicher Vorschriften zum Zweck der Erstattung der Kosten der Bestattung erbracht werden.</w:t>
      </w:r>
    </w:p>
    <w:p>
      <w:r>
        <w:rPr>
          <w:color w:val="555555"/>
          <w:sz w:val="17"/>
        </w:rPr>
        <w:t xml:space="preserve">Zitiervorschlag: § 36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